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8729" w14:textId="77777777" w:rsidR="00CD1B74" w:rsidRPr="00CD7449" w:rsidRDefault="00216150" w:rsidP="00892C77">
      <w:pPr>
        <w:pStyle w:val="Heading1"/>
      </w:pPr>
      <w:bookmarkStart w:id="0" w:name="_Toc56521386"/>
      <w:bookmarkStart w:id="1" w:name="_Toc56521590"/>
      <w:bookmarkStart w:id="2" w:name="_Toc62753338"/>
      <w:r w:rsidRPr="00CD7449">
        <w:t>University of Leeds</w:t>
      </w:r>
      <w:r w:rsidR="001D17CC" w:rsidRPr="00CD7449">
        <w:t xml:space="preserve"> staff</w:t>
      </w:r>
      <w:r w:rsidR="00CE41B8" w:rsidRPr="00CD7449">
        <w:t xml:space="preserve"> maternity, adoption and paternity</w:t>
      </w:r>
      <w:r w:rsidR="002F6297" w:rsidRPr="00CD7449">
        <w:rPr>
          <w:rStyle w:val="FootnoteReference"/>
          <w:rFonts w:cs="Arial"/>
          <w:szCs w:val="36"/>
        </w:rPr>
        <w:footnoteReference w:id="1"/>
      </w:r>
      <w:r w:rsidR="00CE41B8" w:rsidRPr="00CD7449">
        <w:t xml:space="preserve"> </w:t>
      </w:r>
      <w:r w:rsidR="00C202B5" w:rsidRPr="00CD7449">
        <w:t>leave</w:t>
      </w:r>
      <w:bookmarkEnd w:id="0"/>
      <w:bookmarkEnd w:id="1"/>
      <w:bookmarkEnd w:id="2"/>
      <w:r w:rsidR="00C202B5" w:rsidRPr="00CD7449">
        <w:t xml:space="preserve"> </w:t>
      </w:r>
    </w:p>
    <w:p w14:paraId="601BE791" w14:textId="2ED6A5AE" w:rsidR="00216150" w:rsidRDefault="00C202B5" w:rsidP="00892C77">
      <w:pPr>
        <w:pStyle w:val="Heading1"/>
      </w:pPr>
      <w:bookmarkStart w:id="3" w:name="_Toc56521387"/>
      <w:bookmarkStart w:id="4" w:name="_Toc56521591"/>
      <w:bookmarkStart w:id="5" w:name="_Toc62753339"/>
      <w:r w:rsidRPr="00CD7449">
        <w:t>1</w:t>
      </w:r>
      <w:r w:rsidR="00561339" w:rsidRPr="00CD7449">
        <w:t xml:space="preserve"> August 20</w:t>
      </w:r>
      <w:r w:rsidR="00D6346A">
        <w:t>2</w:t>
      </w:r>
      <w:r w:rsidR="004E6FAA">
        <w:t>1</w:t>
      </w:r>
      <w:r w:rsidR="00CE41B8" w:rsidRPr="00CD7449">
        <w:t xml:space="preserve"> – 31 </w:t>
      </w:r>
      <w:r w:rsidR="00216150" w:rsidRPr="00CD7449">
        <w:t>July</w:t>
      </w:r>
      <w:r w:rsidR="00CE41B8" w:rsidRPr="00CD7449">
        <w:t xml:space="preserve"> </w:t>
      </w:r>
      <w:r w:rsidR="00D70D0E">
        <w:t>20</w:t>
      </w:r>
      <w:r w:rsidR="0018715C">
        <w:t>2</w:t>
      </w:r>
      <w:bookmarkEnd w:id="3"/>
      <w:bookmarkEnd w:id="4"/>
      <w:bookmarkEnd w:id="5"/>
      <w:r w:rsidR="004E6FAA">
        <w:t>2</w:t>
      </w:r>
    </w:p>
    <w:p w14:paraId="298F7DF1" w14:textId="77777777" w:rsidR="00892C77" w:rsidRDefault="00892C77" w:rsidP="00892C77"/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136727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DF5F58" w14:textId="77777777" w:rsidR="00892C77" w:rsidRPr="00892C77" w:rsidRDefault="00892C77">
          <w:pPr>
            <w:pStyle w:val="TOCHeading"/>
            <w:rPr>
              <w:rFonts w:ascii="Arial" w:hAnsi="Arial" w:cs="Arial"/>
              <w:b/>
              <w:color w:val="auto"/>
              <w:szCs w:val="24"/>
            </w:rPr>
          </w:pPr>
          <w:r w:rsidRPr="00892C77">
            <w:rPr>
              <w:rFonts w:ascii="Arial" w:hAnsi="Arial" w:cs="Arial"/>
              <w:b/>
              <w:color w:val="auto"/>
              <w:szCs w:val="24"/>
            </w:rPr>
            <w:t>Contents</w:t>
          </w:r>
        </w:p>
        <w:p w14:paraId="14596FD0" w14:textId="77777777" w:rsidR="00A1265E" w:rsidRDefault="00892C7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892C77">
            <w:rPr>
              <w:rFonts w:cs="Arial"/>
              <w:szCs w:val="24"/>
            </w:rPr>
            <w:fldChar w:fldCharType="begin"/>
          </w:r>
          <w:r w:rsidRPr="00892C77">
            <w:rPr>
              <w:rFonts w:cs="Arial"/>
              <w:szCs w:val="24"/>
            </w:rPr>
            <w:instrText xml:space="preserve"> TOC \o "1-3" \h \z \u </w:instrText>
          </w:r>
          <w:r w:rsidRPr="00892C77">
            <w:rPr>
              <w:rFonts w:cs="Arial"/>
              <w:szCs w:val="24"/>
            </w:rPr>
            <w:fldChar w:fldCharType="separate"/>
          </w:r>
        </w:p>
        <w:p w14:paraId="462344EC" w14:textId="77777777" w:rsidR="00A1265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0" w:history="1">
            <w:r w:rsidR="00A1265E" w:rsidRPr="000A4C80">
              <w:rPr>
                <w:rStyle w:val="Hyperlink"/>
                <w:noProof/>
              </w:rPr>
              <w:t>Introduction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_Toc62753340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1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5217E637" w14:textId="77777777" w:rsidR="00A1265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1" w:history="1">
            <w:r w:rsidR="00A1265E" w:rsidRPr="000A4C80">
              <w:rPr>
                <w:rStyle w:val="Hyperlink"/>
                <w:noProof/>
              </w:rPr>
              <w:t>Maternity/Adoption leave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_Toc62753341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2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79E7B148" w14:textId="77777777" w:rsidR="00A1265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2" w:history="1">
            <w:r w:rsidR="00A1265E" w:rsidRPr="000A4C80">
              <w:rPr>
                <w:rStyle w:val="Hyperlink"/>
                <w:noProof/>
              </w:rPr>
              <w:t>Staff return to work following Maternity/Adoption Leave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_Toc62753342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3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4889072D" w14:textId="77777777" w:rsidR="00A1265E" w:rsidRDefault="0000000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2753343" w:history="1">
            <w:r w:rsidR="00864C7F">
              <w:rPr>
                <w:rStyle w:val="Hyperlink"/>
                <w:noProof/>
              </w:rPr>
              <w:t>Paternity</w:t>
            </w:r>
            <w:r w:rsidR="00A1265E" w:rsidRPr="000A4C80">
              <w:rPr>
                <w:rStyle w:val="Hyperlink"/>
                <w:noProof/>
              </w:rPr>
              <w:t xml:space="preserve"> leave</w:t>
            </w:r>
            <w:r w:rsidR="00A1265E">
              <w:rPr>
                <w:noProof/>
                <w:webHidden/>
              </w:rPr>
              <w:tab/>
            </w:r>
            <w:r w:rsidR="00A1265E">
              <w:rPr>
                <w:noProof/>
                <w:webHidden/>
              </w:rPr>
              <w:fldChar w:fldCharType="begin"/>
            </w:r>
            <w:r w:rsidR="00A1265E">
              <w:rPr>
                <w:noProof/>
                <w:webHidden/>
              </w:rPr>
              <w:instrText xml:space="preserve"> PAGEREF _Toc62753343 \h </w:instrText>
            </w:r>
            <w:r w:rsidR="00A1265E">
              <w:rPr>
                <w:noProof/>
                <w:webHidden/>
              </w:rPr>
            </w:r>
            <w:r w:rsidR="00A1265E">
              <w:rPr>
                <w:noProof/>
                <w:webHidden/>
              </w:rPr>
              <w:fldChar w:fldCharType="separate"/>
            </w:r>
            <w:r w:rsidR="00A1265E">
              <w:rPr>
                <w:noProof/>
                <w:webHidden/>
              </w:rPr>
              <w:t>4</w:t>
            </w:r>
            <w:r w:rsidR="00A1265E">
              <w:rPr>
                <w:noProof/>
                <w:webHidden/>
              </w:rPr>
              <w:fldChar w:fldCharType="end"/>
            </w:r>
          </w:hyperlink>
        </w:p>
        <w:p w14:paraId="4BE5121A" w14:textId="77777777" w:rsidR="00892C77" w:rsidRDefault="00892C77">
          <w:r w:rsidRPr="00892C77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2DF45799" w14:textId="77777777" w:rsidR="00892C77" w:rsidRPr="00892C77" w:rsidRDefault="00892C77" w:rsidP="00892C77">
      <w:pPr>
        <w:pStyle w:val="Heading2"/>
      </w:pPr>
      <w:bookmarkStart w:id="6" w:name="_Toc62753340"/>
      <w:r>
        <w:t>Introduction</w:t>
      </w:r>
      <w:bookmarkEnd w:id="6"/>
    </w:p>
    <w:p w14:paraId="11D14E7E" w14:textId="46447B7C" w:rsidR="00CB5666" w:rsidRDefault="00C202B5" w:rsidP="00892C77">
      <w:pPr>
        <w:rPr>
          <w:b/>
        </w:rPr>
      </w:pPr>
      <w:r w:rsidRPr="00CB5666">
        <w:t xml:space="preserve">The following data provide information on </w:t>
      </w:r>
      <w:r w:rsidR="00CB5666">
        <w:t>all</w:t>
      </w:r>
      <w:r w:rsidR="00A4656D" w:rsidRPr="00CB5666">
        <w:t xml:space="preserve"> staff </w:t>
      </w:r>
      <w:r w:rsidR="00CB5666">
        <w:t>(academic, professional and managerial</w:t>
      </w:r>
      <w:r w:rsidR="0099490F">
        <w:t>,</w:t>
      </w:r>
      <w:r w:rsidR="00CB5666">
        <w:t xml:space="preserve"> and support) </w:t>
      </w:r>
      <w:r w:rsidR="00A4656D" w:rsidRPr="00CB5666">
        <w:t>across the University who</w:t>
      </w:r>
      <w:r w:rsidRPr="00CB5666">
        <w:t xml:space="preserve"> took maternity, adoption or paternity leave</w:t>
      </w:r>
      <w:r w:rsidR="00CB5666">
        <w:t xml:space="preserve"> during the 20</w:t>
      </w:r>
      <w:r w:rsidR="00D6346A">
        <w:t>2</w:t>
      </w:r>
      <w:r w:rsidR="004E6FAA">
        <w:t>1</w:t>
      </w:r>
      <w:r w:rsidR="00D70D0E">
        <w:t>-</w:t>
      </w:r>
      <w:r w:rsidR="00191BC6">
        <w:t>2</w:t>
      </w:r>
      <w:r w:rsidR="004E6FAA">
        <w:t>2</w:t>
      </w:r>
      <w:r w:rsidR="00CB5666">
        <w:t xml:space="preserve"> academic year</w:t>
      </w:r>
      <w:r w:rsidRPr="00CB5666">
        <w:t xml:space="preserve">. </w:t>
      </w:r>
      <w:r w:rsidR="00FF1735" w:rsidRPr="00CB5666">
        <w:t>Data from 201</w:t>
      </w:r>
      <w:r w:rsidR="004E6FAA">
        <w:t>9</w:t>
      </w:r>
      <w:r w:rsidR="001C0E3E">
        <w:t>-</w:t>
      </w:r>
      <w:r w:rsidR="004E6FAA">
        <w:t>20</w:t>
      </w:r>
      <w:r w:rsidR="00FB5228" w:rsidRPr="00CB5666">
        <w:t xml:space="preserve"> </w:t>
      </w:r>
      <w:r w:rsidR="00EE4A95" w:rsidRPr="00CB5666">
        <w:t>and 20</w:t>
      </w:r>
      <w:r w:rsidR="004E6FAA">
        <w:t>20</w:t>
      </w:r>
      <w:r w:rsidR="001C0E3E">
        <w:t>-</w:t>
      </w:r>
      <w:r w:rsidR="00D6346A">
        <w:t>2</w:t>
      </w:r>
      <w:r w:rsidR="004E6FAA">
        <w:t>1</w:t>
      </w:r>
      <w:r w:rsidR="00D70D0E">
        <w:t xml:space="preserve"> are</w:t>
      </w:r>
      <w:r w:rsidR="005046D0" w:rsidRPr="00CB5666">
        <w:t xml:space="preserve"> also included for comparison. </w:t>
      </w:r>
    </w:p>
    <w:p w14:paraId="25BCFD4F" w14:textId="77777777" w:rsidR="000B1D43" w:rsidRPr="008C3085" w:rsidRDefault="00D70D0E" w:rsidP="00892C77">
      <w:pPr>
        <w:rPr>
          <w:b/>
          <w:i/>
        </w:rPr>
      </w:pPr>
      <w:r w:rsidRPr="008C3085">
        <w:rPr>
          <w:b/>
          <w:i/>
        </w:rPr>
        <w:t>Data are</w:t>
      </w:r>
      <w:r w:rsidR="000B1D43" w:rsidRPr="008C3085">
        <w:rPr>
          <w:b/>
          <w:i/>
        </w:rPr>
        <w:t xml:space="preserve"> rounded to the nearest whole percent</w:t>
      </w:r>
      <w:r w:rsidR="00CD1B74" w:rsidRPr="008C3085">
        <w:rPr>
          <w:b/>
          <w:i/>
        </w:rPr>
        <w:t xml:space="preserve"> and therefore may not always total 100%</w:t>
      </w:r>
      <w:r w:rsidR="000B1D43" w:rsidRPr="008C3085">
        <w:rPr>
          <w:b/>
          <w:i/>
        </w:rPr>
        <w:t xml:space="preserve">. </w:t>
      </w:r>
    </w:p>
    <w:p w14:paraId="5E4E88C1" w14:textId="77777777" w:rsidR="00446C71" w:rsidRPr="00CB5666" w:rsidRDefault="00446C71" w:rsidP="00892C77">
      <w:pPr>
        <w:pStyle w:val="Heading2"/>
      </w:pPr>
      <w:bookmarkStart w:id="7" w:name="_Toc62753341"/>
      <w:r w:rsidRPr="00CB5666">
        <w:lastRenderedPageBreak/>
        <w:t>Maternity/</w:t>
      </w:r>
      <w:r w:rsidR="00EE635A">
        <w:t>A</w:t>
      </w:r>
      <w:r w:rsidRPr="00CB5666">
        <w:t>doption leave</w:t>
      </w:r>
      <w:bookmarkEnd w:id="7"/>
      <w:r w:rsidR="00C202B5" w:rsidRPr="00CB5666">
        <w:tab/>
      </w:r>
    </w:p>
    <w:p w14:paraId="05E131C7" w14:textId="4C422DB2" w:rsidR="00CD1B74" w:rsidRPr="00CD7449" w:rsidRDefault="005843C6" w:rsidP="008E66D7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3794E74" wp14:editId="232698A3">
            <wp:extent cx="5622877" cy="2941092"/>
            <wp:effectExtent l="0" t="0" r="16510" b="1206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342305C-A409-FBB8-1775-4550224D02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of Maternity/Adoption Leave by Job Category"/>
        <w:tblDescription w:val="Table showing percentage of maternity/adoption leave by job category in 2018-19, 2017-18, 2016-17. Categories include academic, professional &amp; managerial, support."/>
      </w:tblPr>
      <w:tblGrid>
        <w:gridCol w:w="1808"/>
        <w:gridCol w:w="1804"/>
        <w:gridCol w:w="1802"/>
        <w:gridCol w:w="1801"/>
        <w:gridCol w:w="1801"/>
      </w:tblGrid>
      <w:tr w:rsidR="005843C6" w:rsidRPr="00CD7449" w14:paraId="090D0D08" w14:textId="77777777" w:rsidTr="002D7023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2B3F54B8" w14:textId="77777777" w:rsidR="005843C6" w:rsidRPr="008C3085" w:rsidRDefault="005843C6" w:rsidP="005843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7A1DDE0" w14:textId="77777777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Count</w:t>
            </w:r>
          </w:p>
        </w:tc>
        <w:tc>
          <w:tcPr>
            <w:tcW w:w="999" w:type="pct"/>
            <w:vAlign w:val="center"/>
          </w:tcPr>
          <w:p w14:paraId="32885DA3" w14:textId="577F7E64" w:rsidR="005843C6" w:rsidRDefault="005843C6" w:rsidP="005843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</w:t>
            </w:r>
          </w:p>
        </w:tc>
        <w:tc>
          <w:tcPr>
            <w:tcW w:w="999" w:type="pct"/>
            <w:vAlign w:val="center"/>
          </w:tcPr>
          <w:p w14:paraId="57C9BBB5" w14:textId="565C6B2C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2020-21 %</w:t>
            </w:r>
          </w:p>
        </w:tc>
        <w:tc>
          <w:tcPr>
            <w:tcW w:w="999" w:type="pct"/>
            <w:vAlign w:val="center"/>
          </w:tcPr>
          <w:p w14:paraId="7132E6B8" w14:textId="593C143F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</w:t>
            </w:r>
          </w:p>
        </w:tc>
      </w:tr>
      <w:tr w:rsidR="005843C6" w:rsidRPr="00CD7449" w14:paraId="4EB66F02" w14:textId="77777777" w:rsidTr="002D7023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54B9915F" w14:textId="77777777" w:rsidR="005843C6" w:rsidRPr="008C3085" w:rsidRDefault="005843C6" w:rsidP="005843C6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Academic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E0ABC74" w14:textId="0601146A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999" w:type="pct"/>
            <w:vAlign w:val="center"/>
          </w:tcPr>
          <w:p w14:paraId="3BFD84D9" w14:textId="5120A528" w:rsidR="005843C6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39%</w:t>
            </w:r>
          </w:p>
        </w:tc>
        <w:tc>
          <w:tcPr>
            <w:tcW w:w="999" w:type="pct"/>
            <w:vAlign w:val="center"/>
          </w:tcPr>
          <w:p w14:paraId="2CECB144" w14:textId="347D0A36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33%</w:t>
            </w:r>
          </w:p>
        </w:tc>
        <w:tc>
          <w:tcPr>
            <w:tcW w:w="999" w:type="pct"/>
            <w:vAlign w:val="center"/>
          </w:tcPr>
          <w:p w14:paraId="0F5952C0" w14:textId="6551EE0F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5843C6" w:rsidRPr="00CD7449" w14:paraId="6C97EAAF" w14:textId="77777777" w:rsidTr="002D7023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47CD7C6A" w14:textId="77777777" w:rsidR="005843C6" w:rsidRPr="008C3085" w:rsidRDefault="005843C6" w:rsidP="005843C6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Professional &amp; Managerial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312ABC6F" w14:textId="433D3965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999" w:type="pct"/>
            <w:vAlign w:val="center"/>
          </w:tcPr>
          <w:p w14:paraId="73730C0E" w14:textId="6C6CDFC5" w:rsidR="005843C6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23%</w:t>
            </w:r>
          </w:p>
        </w:tc>
        <w:tc>
          <w:tcPr>
            <w:tcW w:w="999" w:type="pct"/>
            <w:vAlign w:val="center"/>
          </w:tcPr>
          <w:p w14:paraId="4F8BC491" w14:textId="07DE3A66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21%</w:t>
            </w:r>
          </w:p>
        </w:tc>
        <w:tc>
          <w:tcPr>
            <w:tcW w:w="999" w:type="pct"/>
            <w:vAlign w:val="center"/>
          </w:tcPr>
          <w:p w14:paraId="4000CB23" w14:textId="4BD4DEB7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20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5843C6" w:rsidRPr="00CD7449" w14:paraId="64F081BB" w14:textId="77777777" w:rsidTr="002D7023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1B133D47" w14:textId="77777777" w:rsidR="005843C6" w:rsidRPr="008C3085" w:rsidRDefault="005843C6" w:rsidP="005843C6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Support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C229074" w14:textId="52674AB4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999" w:type="pct"/>
            <w:vAlign w:val="center"/>
          </w:tcPr>
          <w:p w14:paraId="3549B757" w14:textId="27D18C84" w:rsidR="005843C6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38%</w:t>
            </w:r>
          </w:p>
        </w:tc>
        <w:tc>
          <w:tcPr>
            <w:tcW w:w="999" w:type="pct"/>
            <w:vAlign w:val="center"/>
          </w:tcPr>
          <w:p w14:paraId="650C8CCD" w14:textId="1FA26D59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46%</w:t>
            </w:r>
          </w:p>
        </w:tc>
        <w:tc>
          <w:tcPr>
            <w:tcW w:w="999" w:type="pct"/>
            <w:vAlign w:val="center"/>
          </w:tcPr>
          <w:p w14:paraId="2D828C6F" w14:textId="4757B543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36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5843C6" w:rsidRPr="00CD7449" w14:paraId="6922CFBD" w14:textId="77777777" w:rsidTr="002D7023">
        <w:trPr>
          <w:trHeight w:val="300"/>
          <w:tblHeader/>
        </w:trPr>
        <w:tc>
          <w:tcPr>
            <w:tcW w:w="1002" w:type="pct"/>
            <w:shd w:val="clear" w:color="auto" w:fill="auto"/>
            <w:noWrap/>
            <w:vAlign w:val="bottom"/>
            <w:hideMark/>
          </w:tcPr>
          <w:p w14:paraId="79ADD4AC" w14:textId="77777777" w:rsidR="005843C6" w:rsidRPr="008C3085" w:rsidRDefault="005843C6" w:rsidP="005843C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All Staff Total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CC4C059" w14:textId="60839CF1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b/>
                <w:bCs/>
                <w:color w:val="000000"/>
                <w:szCs w:val="24"/>
              </w:rPr>
              <w:t>16</w:t>
            </w:r>
            <w:r>
              <w:rPr>
                <w:rFonts w:cs="Arial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99" w:type="pct"/>
            <w:vAlign w:val="center"/>
          </w:tcPr>
          <w:p w14:paraId="14A68A72" w14:textId="2D0878D9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vAlign w:val="center"/>
          </w:tcPr>
          <w:p w14:paraId="4313E588" w14:textId="680B4D6F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vAlign w:val="center"/>
          </w:tcPr>
          <w:p w14:paraId="6D596C05" w14:textId="77777777" w:rsidR="005843C6" w:rsidRPr="008C3085" w:rsidRDefault="005843C6" w:rsidP="005843C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</w:tr>
    </w:tbl>
    <w:p w14:paraId="77888017" w14:textId="77777777" w:rsidR="00892C77" w:rsidRDefault="00892C77" w:rsidP="00892C77">
      <w:pPr>
        <w:rPr>
          <w:rFonts w:cs="Arial"/>
          <w:b/>
          <w:szCs w:val="24"/>
        </w:rPr>
      </w:pPr>
    </w:p>
    <w:p w14:paraId="4AA6EAEA" w14:textId="77777777" w:rsidR="0027060B" w:rsidRPr="00892C77" w:rsidRDefault="001D4EF2" w:rsidP="00892C77">
      <w:pPr>
        <w:rPr>
          <w:rFonts w:cs="Arial"/>
          <w:b/>
          <w:szCs w:val="24"/>
        </w:rPr>
      </w:pPr>
      <w:r w:rsidRPr="00892C77">
        <w:rPr>
          <w:rFonts w:cs="Arial"/>
          <w:b/>
          <w:szCs w:val="24"/>
        </w:rPr>
        <w:t>Commentary</w:t>
      </w:r>
    </w:p>
    <w:p w14:paraId="008EF6E4" w14:textId="1EA8FAB6" w:rsidR="001D4EF2" w:rsidRPr="000613EF" w:rsidRDefault="00294F55" w:rsidP="00892C77">
      <w:pPr>
        <w:rPr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>1</w:t>
      </w:r>
      <w:r w:rsidR="00812EA7">
        <w:rPr>
          <w:rFonts w:cs="Arial"/>
          <w:color w:val="000000" w:themeColor="text1"/>
          <w:szCs w:val="24"/>
        </w:rPr>
        <w:t>6</w:t>
      </w:r>
      <w:r w:rsidR="005843C6">
        <w:rPr>
          <w:rFonts w:cs="Arial"/>
          <w:color w:val="000000" w:themeColor="text1"/>
          <w:szCs w:val="24"/>
        </w:rPr>
        <w:t>3</w:t>
      </w:r>
      <w:r w:rsidR="001D4EF2" w:rsidRPr="000613EF">
        <w:rPr>
          <w:rFonts w:cs="Arial"/>
          <w:color w:val="000000" w:themeColor="text1"/>
          <w:szCs w:val="24"/>
        </w:rPr>
        <w:t xml:space="preserve"> staff took maternity and</w:t>
      </w:r>
      <w:r w:rsidR="004213FE" w:rsidRPr="000613EF">
        <w:rPr>
          <w:rFonts w:cs="Arial"/>
          <w:color w:val="000000" w:themeColor="text1"/>
          <w:szCs w:val="24"/>
        </w:rPr>
        <w:t xml:space="preserve"> adoption leave</w:t>
      </w:r>
      <w:r w:rsidR="00084ECE">
        <w:rPr>
          <w:rFonts w:cs="Arial"/>
          <w:color w:val="000000" w:themeColor="text1"/>
          <w:szCs w:val="24"/>
        </w:rPr>
        <w:t xml:space="preserve"> in</w:t>
      </w:r>
      <w:r w:rsidR="001068F8">
        <w:rPr>
          <w:rFonts w:cs="Arial"/>
          <w:color w:val="000000" w:themeColor="text1"/>
          <w:szCs w:val="24"/>
        </w:rPr>
        <w:t xml:space="preserve"> 202</w:t>
      </w:r>
      <w:r w:rsidR="005843C6">
        <w:rPr>
          <w:rFonts w:cs="Arial"/>
          <w:color w:val="000000" w:themeColor="text1"/>
          <w:szCs w:val="24"/>
        </w:rPr>
        <w:t>1</w:t>
      </w:r>
      <w:r w:rsidR="001068F8">
        <w:rPr>
          <w:rFonts w:cs="Arial"/>
          <w:color w:val="000000" w:themeColor="text1"/>
          <w:szCs w:val="24"/>
        </w:rPr>
        <w:t>-2</w:t>
      </w:r>
      <w:r w:rsidR="005843C6">
        <w:rPr>
          <w:rFonts w:cs="Arial"/>
          <w:color w:val="000000" w:themeColor="text1"/>
          <w:szCs w:val="24"/>
        </w:rPr>
        <w:t>2</w:t>
      </w:r>
      <w:r w:rsidR="001D4EF2" w:rsidRPr="000613EF">
        <w:rPr>
          <w:rFonts w:cs="Arial"/>
          <w:color w:val="000000" w:themeColor="text1"/>
          <w:szCs w:val="24"/>
        </w:rPr>
        <w:t xml:space="preserve">. </w:t>
      </w:r>
      <w:r w:rsidR="008C691E">
        <w:rPr>
          <w:rFonts w:cs="Arial"/>
          <w:color w:val="000000" w:themeColor="text1"/>
          <w:szCs w:val="24"/>
        </w:rPr>
        <w:t>A</w:t>
      </w:r>
      <w:r w:rsidR="00774EF3">
        <w:rPr>
          <w:rFonts w:cs="Arial"/>
          <w:color w:val="000000" w:themeColor="text1"/>
          <w:szCs w:val="24"/>
        </w:rPr>
        <w:t xml:space="preserve">cademic staff account for </w:t>
      </w:r>
      <w:r w:rsidR="001068F8">
        <w:rPr>
          <w:rFonts w:cs="Arial"/>
          <w:color w:val="000000" w:themeColor="text1"/>
          <w:szCs w:val="24"/>
        </w:rPr>
        <w:t>3</w:t>
      </w:r>
      <w:r w:rsidR="005843C6">
        <w:rPr>
          <w:rFonts w:cs="Arial"/>
          <w:color w:val="000000" w:themeColor="text1"/>
          <w:szCs w:val="24"/>
        </w:rPr>
        <w:t>9</w:t>
      </w:r>
      <w:r w:rsidR="007E31D3">
        <w:rPr>
          <w:rFonts w:cs="Arial"/>
          <w:color w:val="000000" w:themeColor="text1"/>
          <w:szCs w:val="24"/>
        </w:rPr>
        <w:t>%</w:t>
      </w:r>
      <w:r w:rsidR="008C691E">
        <w:rPr>
          <w:rFonts w:cs="Arial"/>
          <w:color w:val="000000" w:themeColor="text1"/>
          <w:szCs w:val="24"/>
        </w:rPr>
        <w:t xml:space="preserve"> </w:t>
      </w:r>
      <w:r w:rsidR="00774EF3">
        <w:rPr>
          <w:rFonts w:cs="Arial"/>
          <w:color w:val="000000" w:themeColor="text1"/>
          <w:szCs w:val="24"/>
        </w:rPr>
        <w:t>of the staff on maternity</w:t>
      </w:r>
      <w:r w:rsidR="00330FA7">
        <w:rPr>
          <w:rFonts w:cs="Arial"/>
          <w:color w:val="000000" w:themeColor="text1"/>
          <w:szCs w:val="24"/>
        </w:rPr>
        <w:t xml:space="preserve"> and adoption leave, </w:t>
      </w:r>
      <w:r w:rsidR="001068F8">
        <w:rPr>
          <w:rFonts w:cs="Arial"/>
          <w:color w:val="000000" w:themeColor="text1"/>
          <w:szCs w:val="24"/>
        </w:rPr>
        <w:t xml:space="preserve">with </w:t>
      </w:r>
      <w:r w:rsidR="005843C6">
        <w:rPr>
          <w:rFonts w:cs="Arial"/>
          <w:color w:val="000000" w:themeColor="text1"/>
          <w:szCs w:val="24"/>
        </w:rPr>
        <w:t>38</w:t>
      </w:r>
      <w:r w:rsidR="001068F8">
        <w:rPr>
          <w:rFonts w:cs="Arial"/>
          <w:color w:val="000000" w:themeColor="text1"/>
          <w:szCs w:val="24"/>
        </w:rPr>
        <w:t>%</w:t>
      </w:r>
      <w:r w:rsidR="007D2B44">
        <w:rPr>
          <w:rFonts w:cs="Arial"/>
          <w:color w:val="000000" w:themeColor="text1"/>
          <w:szCs w:val="24"/>
        </w:rPr>
        <w:t xml:space="preserve"> </w:t>
      </w:r>
      <w:r w:rsidR="00774EF3">
        <w:rPr>
          <w:rFonts w:cs="Arial"/>
          <w:color w:val="000000" w:themeColor="text1"/>
          <w:szCs w:val="24"/>
        </w:rPr>
        <w:t xml:space="preserve">from </w:t>
      </w:r>
      <w:r w:rsidR="008C691E">
        <w:rPr>
          <w:rFonts w:cs="Arial"/>
          <w:color w:val="000000" w:themeColor="text1"/>
          <w:szCs w:val="24"/>
        </w:rPr>
        <w:t>Support roles, and the final 2</w:t>
      </w:r>
      <w:r w:rsidR="005843C6">
        <w:rPr>
          <w:rFonts w:cs="Arial"/>
          <w:color w:val="000000" w:themeColor="text1"/>
          <w:szCs w:val="24"/>
        </w:rPr>
        <w:t>3</w:t>
      </w:r>
      <w:r w:rsidR="008C691E">
        <w:rPr>
          <w:rFonts w:cs="Arial"/>
          <w:color w:val="000000" w:themeColor="text1"/>
          <w:szCs w:val="24"/>
        </w:rPr>
        <w:t xml:space="preserve">% </w:t>
      </w:r>
      <w:r w:rsidR="00476A3D">
        <w:rPr>
          <w:rFonts w:cs="Arial"/>
          <w:color w:val="000000" w:themeColor="text1"/>
          <w:szCs w:val="24"/>
        </w:rPr>
        <w:t xml:space="preserve">are </w:t>
      </w:r>
      <w:r w:rsidR="008C691E">
        <w:rPr>
          <w:rFonts w:cs="Arial"/>
          <w:color w:val="000000" w:themeColor="text1"/>
          <w:szCs w:val="24"/>
        </w:rPr>
        <w:t xml:space="preserve">from </w:t>
      </w:r>
      <w:r w:rsidR="00774EF3">
        <w:rPr>
          <w:rFonts w:cs="Arial"/>
          <w:color w:val="000000" w:themeColor="text1"/>
          <w:szCs w:val="24"/>
        </w:rPr>
        <w:t>P</w:t>
      </w:r>
      <w:r w:rsidR="00826177">
        <w:rPr>
          <w:rFonts w:cs="Arial"/>
          <w:color w:val="000000" w:themeColor="text1"/>
          <w:szCs w:val="24"/>
        </w:rPr>
        <w:t>rofessional and Managerial</w:t>
      </w:r>
      <w:r w:rsidR="00774EF3">
        <w:rPr>
          <w:rFonts w:cs="Arial"/>
          <w:color w:val="000000" w:themeColor="text1"/>
          <w:szCs w:val="24"/>
        </w:rPr>
        <w:t xml:space="preserve"> roles</w:t>
      </w:r>
      <w:r w:rsidR="00C65DFF">
        <w:rPr>
          <w:rFonts w:cs="Arial"/>
          <w:color w:val="000000" w:themeColor="text1"/>
          <w:szCs w:val="24"/>
        </w:rPr>
        <w:t>.</w:t>
      </w:r>
    </w:p>
    <w:p w14:paraId="07A2412E" w14:textId="77777777" w:rsidR="0057166B" w:rsidRPr="00046166" w:rsidRDefault="00CD1B74" w:rsidP="00892C77">
      <w:pPr>
        <w:pStyle w:val="Heading2"/>
      </w:pPr>
      <w:bookmarkStart w:id="8" w:name="_Toc62753342"/>
      <w:r w:rsidRPr="00046166">
        <w:lastRenderedPageBreak/>
        <w:t xml:space="preserve">Staff return to work following </w:t>
      </w:r>
      <w:r w:rsidR="00053781" w:rsidRPr="00046166">
        <w:t>Maternity/Adoption L</w:t>
      </w:r>
      <w:r w:rsidRPr="00046166">
        <w:t>eave</w:t>
      </w:r>
      <w:bookmarkEnd w:id="8"/>
    </w:p>
    <w:p w14:paraId="76AB259A" w14:textId="53A6E152" w:rsidR="00CD1B74" w:rsidRPr="00046166" w:rsidRDefault="007755C2" w:rsidP="0014518E">
      <w:pPr>
        <w:jc w:val="center"/>
        <w:rPr>
          <w:rFonts w:cs="Arial"/>
          <w:color w:val="17365D" w:themeColor="text2" w:themeShade="BF"/>
          <w:szCs w:val="24"/>
        </w:rPr>
      </w:pPr>
      <w:r>
        <w:rPr>
          <w:noProof/>
        </w:rPr>
        <w:drawing>
          <wp:inline distT="0" distB="0" distL="0" distR="0" wp14:anchorId="362F4F6D" wp14:editId="182D0726">
            <wp:extent cx="5718412" cy="3036626"/>
            <wp:effectExtent l="0" t="0" r="15875" b="1143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DB0FF09-A05B-222E-4810-A44AEEB187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ll Staff Returning to Work Following Maternity/Adoption Leave"/>
        <w:tblDescription w:val="Table showing the percentage of all staff returning to work following maternity/adoption leave in 2018-19, 2017-18, 2016-17."/>
      </w:tblPr>
      <w:tblGrid>
        <w:gridCol w:w="1291"/>
        <w:gridCol w:w="832"/>
        <w:gridCol w:w="992"/>
        <w:gridCol w:w="1132"/>
        <w:gridCol w:w="1560"/>
        <w:gridCol w:w="1560"/>
        <w:gridCol w:w="1701"/>
      </w:tblGrid>
      <w:tr w:rsidR="00046166" w:rsidRPr="00046166" w14:paraId="0989E1A5" w14:textId="77777777" w:rsidTr="002D7023">
        <w:trPr>
          <w:trHeight w:val="300"/>
          <w:tblHeader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ECE6A83" w14:textId="77777777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6FD8F27D" w14:textId="77777777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70DB8983" w14:textId="77777777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1375A35" w14:textId="77777777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860" w:type="pct"/>
            <w:vAlign w:val="center"/>
          </w:tcPr>
          <w:p w14:paraId="1E19763F" w14:textId="17518579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 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860" w:type="pct"/>
            <w:vAlign w:val="center"/>
          </w:tcPr>
          <w:p w14:paraId="338C6138" w14:textId="2F20F310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 2020-21</w:t>
            </w:r>
          </w:p>
        </w:tc>
        <w:tc>
          <w:tcPr>
            <w:tcW w:w="938" w:type="pct"/>
            <w:vAlign w:val="center"/>
          </w:tcPr>
          <w:p w14:paraId="2B7A8380" w14:textId="100F95D1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returned 2019-20</w:t>
            </w:r>
          </w:p>
        </w:tc>
      </w:tr>
      <w:tr w:rsidR="00046166" w:rsidRPr="00046166" w14:paraId="30F905CC" w14:textId="77777777" w:rsidTr="002D7023">
        <w:trPr>
          <w:trHeight w:val="300"/>
          <w:tblHeader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9A22207" w14:textId="77777777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Return to work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14:paraId="2C002B07" w14:textId="4B3F9AF8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46166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1D7F8622" w14:textId="5D1353F1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46166">
              <w:rPr>
                <w:rFonts w:cs="Arial"/>
                <w:color w:val="000000"/>
                <w:szCs w:val="24"/>
              </w:rPr>
              <w:t>161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4990FB" w14:textId="7075ED10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46166">
              <w:rPr>
                <w:rFonts w:cs="Arial"/>
                <w:color w:val="000000"/>
                <w:szCs w:val="24"/>
              </w:rPr>
              <w:t>174</w:t>
            </w:r>
          </w:p>
        </w:tc>
        <w:tc>
          <w:tcPr>
            <w:tcW w:w="860" w:type="pct"/>
            <w:vAlign w:val="center"/>
          </w:tcPr>
          <w:p w14:paraId="33A4FAF1" w14:textId="2D7A23E3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color w:val="000000"/>
                <w:szCs w:val="24"/>
                <w:lang w:eastAsia="en-GB"/>
              </w:rPr>
              <w:t>93%</w:t>
            </w:r>
          </w:p>
        </w:tc>
        <w:tc>
          <w:tcPr>
            <w:tcW w:w="860" w:type="pct"/>
            <w:vAlign w:val="center"/>
          </w:tcPr>
          <w:p w14:paraId="614BC3B9" w14:textId="51DA02A9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color w:val="000000"/>
                <w:szCs w:val="24"/>
                <w:lang w:eastAsia="en-GB"/>
              </w:rPr>
              <w:t>93%</w:t>
            </w:r>
          </w:p>
        </w:tc>
        <w:tc>
          <w:tcPr>
            <w:tcW w:w="938" w:type="pct"/>
            <w:vAlign w:val="center"/>
          </w:tcPr>
          <w:p w14:paraId="32A0888B" w14:textId="27EA644C" w:rsidR="00046166" w:rsidRPr="00046166" w:rsidRDefault="00046166" w:rsidP="0004616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46166">
              <w:rPr>
                <w:rFonts w:eastAsia="Times New Roman" w:cs="Arial"/>
                <w:color w:val="000000"/>
                <w:szCs w:val="24"/>
                <w:lang w:eastAsia="en-GB"/>
              </w:rPr>
              <w:t>87%</w:t>
            </w:r>
          </w:p>
        </w:tc>
      </w:tr>
    </w:tbl>
    <w:p w14:paraId="5C60305C" w14:textId="77777777" w:rsidR="001D4EF2" w:rsidRPr="00046166" w:rsidRDefault="001D4EF2" w:rsidP="00892C77">
      <w:pPr>
        <w:rPr>
          <w:rFonts w:cs="Arial"/>
        </w:rPr>
      </w:pPr>
    </w:p>
    <w:p w14:paraId="712C1DAC" w14:textId="77777777" w:rsidR="00CD1B74" w:rsidRPr="00046166" w:rsidRDefault="001D4EF2" w:rsidP="00892C77">
      <w:pPr>
        <w:rPr>
          <w:rFonts w:cs="Arial"/>
          <w:b/>
        </w:rPr>
      </w:pPr>
      <w:r w:rsidRPr="00046166">
        <w:rPr>
          <w:rFonts w:cs="Arial"/>
          <w:b/>
        </w:rPr>
        <w:t>Commentary</w:t>
      </w:r>
    </w:p>
    <w:p w14:paraId="447B5109" w14:textId="42DDFB75" w:rsidR="00CB4A17" w:rsidRDefault="00DE701B" w:rsidP="00892C77">
      <w:pPr>
        <w:rPr>
          <w:rFonts w:cs="Arial"/>
        </w:rPr>
      </w:pPr>
      <w:r w:rsidRPr="00046166">
        <w:rPr>
          <w:rFonts w:cs="Arial"/>
        </w:rPr>
        <w:t>93</w:t>
      </w:r>
      <w:r w:rsidR="001A0006" w:rsidRPr="00046166">
        <w:rPr>
          <w:rFonts w:cs="Arial"/>
        </w:rPr>
        <w:t>% of staff returned to work after maternity</w:t>
      </w:r>
      <w:r w:rsidR="00D3478D" w:rsidRPr="00046166">
        <w:rPr>
          <w:rFonts w:cs="Arial"/>
        </w:rPr>
        <w:t>/</w:t>
      </w:r>
      <w:r w:rsidR="003F51DB" w:rsidRPr="00046166">
        <w:rPr>
          <w:rFonts w:cs="Arial"/>
        </w:rPr>
        <w:t>adoption leave in 20</w:t>
      </w:r>
      <w:r w:rsidRPr="00046166">
        <w:rPr>
          <w:rFonts w:cs="Arial"/>
        </w:rPr>
        <w:t>2</w:t>
      </w:r>
      <w:r w:rsidR="00FE1BE7">
        <w:rPr>
          <w:rFonts w:cs="Arial"/>
        </w:rPr>
        <w:t>1</w:t>
      </w:r>
      <w:r w:rsidR="003F51DB" w:rsidRPr="00046166">
        <w:rPr>
          <w:rFonts w:cs="Arial"/>
        </w:rPr>
        <w:t>-</w:t>
      </w:r>
      <w:r w:rsidR="00BD7BBF" w:rsidRPr="00046166">
        <w:rPr>
          <w:rFonts w:cs="Arial"/>
        </w:rPr>
        <w:t>2</w:t>
      </w:r>
      <w:r w:rsidR="00FE1BE7">
        <w:rPr>
          <w:rFonts w:cs="Arial"/>
        </w:rPr>
        <w:t>2</w:t>
      </w:r>
      <w:r w:rsidR="003F51DB" w:rsidRPr="00046166">
        <w:rPr>
          <w:rFonts w:cs="Arial"/>
        </w:rPr>
        <w:t xml:space="preserve">. </w:t>
      </w:r>
      <w:r w:rsidR="00FE1BE7">
        <w:rPr>
          <w:rFonts w:cs="Arial"/>
        </w:rPr>
        <w:t>These figures are the same as for 2020-21.</w:t>
      </w:r>
    </w:p>
    <w:p w14:paraId="49E0A25B" w14:textId="77777777" w:rsidR="00CB4A17" w:rsidRDefault="00CB4A17" w:rsidP="00892C77">
      <w:pPr>
        <w:rPr>
          <w:rFonts w:cs="Arial"/>
        </w:rPr>
      </w:pPr>
    </w:p>
    <w:p w14:paraId="49C15FF7" w14:textId="77777777" w:rsidR="00CB4A17" w:rsidRDefault="00CB4A17" w:rsidP="00892C77">
      <w:pPr>
        <w:rPr>
          <w:rFonts w:cs="Arial"/>
        </w:rPr>
      </w:pPr>
    </w:p>
    <w:p w14:paraId="1A8B5795" w14:textId="77777777" w:rsidR="00216150" w:rsidRPr="00CB4A17" w:rsidRDefault="00EF2D24" w:rsidP="00892C77">
      <w:pPr>
        <w:pStyle w:val="Heading2"/>
      </w:pPr>
      <w:bookmarkStart w:id="9" w:name="_Toc62753343"/>
      <w:r w:rsidRPr="00CB4A17">
        <w:lastRenderedPageBreak/>
        <w:t>Paternity</w:t>
      </w:r>
      <w:r w:rsidR="00524D71">
        <w:t xml:space="preserve"> </w:t>
      </w:r>
      <w:r w:rsidRPr="00CB4A17">
        <w:t>leave</w:t>
      </w:r>
      <w:bookmarkEnd w:id="9"/>
    </w:p>
    <w:p w14:paraId="6EABA23A" w14:textId="59048833" w:rsidR="00EF2D24" w:rsidRPr="00CD7449" w:rsidRDefault="00EF4AF7" w:rsidP="003E05E5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8624EFC" wp14:editId="66AD9B2A">
            <wp:extent cx="5697940" cy="3282286"/>
            <wp:effectExtent l="0" t="0" r="17145" b="1397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3FCBE2D-64B9-07F5-36E2-5349820FD0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aternity Leave by Job Category"/>
        <w:tblDescription w:val="Table showing the percentage of paternity leave by job category in 2018-19, 2017-18, 2016-17. Categories include academic, professional &amp; managerial and support."/>
      </w:tblPr>
      <w:tblGrid>
        <w:gridCol w:w="1802"/>
        <w:gridCol w:w="1799"/>
        <w:gridCol w:w="1795"/>
        <w:gridCol w:w="1795"/>
        <w:gridCol w:w="1793"/>
      </w:tblGrid>
      <w:tr w:rsidR="00467526" w:rsidRPr="00892C77" w14:paraId="0C73F022" w14:textId="77777777" w:rsidTr="002D7023">
        <w:trPr>
          <w:trHeight w:val="329"/>
          <w:tblHeader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497B86A0" w14:textId="77777777" w:rsidR="00467526" w:rsidRPr="008C3085" w:rsidRDefault="00467526" w:rsidP="0046752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14:paraId="22E89632" w14:textId="77777777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Count</w:t>
            </w:r>
          </w:p>
        </w:tc>
        <w:tc>
          <w:tcPr>
            <w:tcW w:w="999" w:type="pct"/>
            <w:vAlign w:val="center"/>
          </w:tcPr>
          <w:p w14:paraId="7EE2A148" w14:textId="787E9D41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bookmarkStart w:id="10" w:name="OLE_LINK1"/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</w:t>
            </w:r>
            <w:bookmarkEnd w:id="10"/>
          </w:p>
        </w:tc>
        <w:tc>
          <w:tcPr>
            <w:tcW w:w="999" w:type="pct"/>
            <w:vAlign w:val="center"/>
          </w:tcPr>
          <w:p w14:paraId="14014DE5" w14:textId="58343911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</w:t>
            </w:r>
          </w:p>
        </w:tc>
        <w:tc>
          <w:tcPr>
            <w:tcW w:w="998" w:type="pct"/>
            <w:vAlign w:val="center"/>
          </w:tcPr>
          <w:p w14:paraId="26A2547A" w14:textId="5D4DFD75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</w:t>
            </w:r>
          </w:p>
        </w:tc>
      </w:tr>
      <w:tr w:rsidR="00467526" w:rsidRPr="00CD7449" w14:paraId="6B576E1C" w14:textId="77777777" w:rsidTr="002D7023">
        <w:trPr>
          <w:trHeight w:val="329"/>
          <w:tblHeader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56CFFB27" w14:textId="77777777" w:rsidR="00467526" w:rsidRPr="008C3085" w:rsidRDefault="00467526" w:rsidP="00467526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Academic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03E2E6DB" w14:textId="2012304D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999" w:type="pct"/>
            <w:vAlign w:val="center"/>
          </w:tcPr>
          <w:p w14:paraId="6707F4EA" w14:textId="2C63B9DB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67%</w:t>
            </w:r>
          </w:p>
        </w:tc>
        <w:tc>
          <w:tcPr>
            <w:tcW w:w="999" w:type="pct"/>
            <w:vAlign w:val="center"/>
          </w:tcPr>
          <w:p w14:paraId="137ABD41" w14:textId="667E159E" w:rsidR="00467526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60%</w:t>
            </w:r>
          </w:p>
        </w:tc>
        <w:tc>
          <w:tcPr>
            <w:tcW w:w="998" w:type="pct"/>
            <w:vAlign w:val="center"/>
          </w:tcPr>
          <w:p w14:paraId="6B28E41F" w14:textId="1115FC3F" w:rsidR="00467526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73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467526" w:rsidRPr="00CD7449" w14:paraId="491B9923" w14:textId="77777777" w:rsidTr="002D7023">
        <w:trPr>
          <w:trHeight w:val="329"/>
          <w:tblHeader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14281E90" w14:textId="77777777" w:rsidR="00467526" w:rsidRPr="008C3085" w:rsidRDefault="00467526" w:rsidP="00467526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Professional &amp; Managerial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62292D7D" w14:textId="35AD38BF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999" w:type="pct"/>
            <w:vAlign w:val="center"/>
          </w:tcPr>
          <w:p w14:paraId="3193FAEA" w14:textId="08DDC820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17%</w:t>
            </w:r>
          </w:p>
        </w:tc>
        <w:tc>
          <w:tcPr>
            <w:tcW w:w="999" w:type="pct"/>
            <w:vAlign w:val="center"/>
          </w:tcPr>
          <w:p w14:paraId="330FD417" w14:textId="0E104371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16%</w:t>
            </w:r>
          </w:p>
        </w:tc>
        <w:tc>
          <w:tcPr>
            <w:tcW w:w="998" w:type="pct"/>
            <w:vAlign w:val="center"/>
          </w:tcPr>
          <w:p w14:paraId="79DA10FF" w14:textId="66BB1B36" w:rsidR="00467526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467526" w:rsidRPr="00CD7449" w14:paraId="2F206CAA" w14:textId="77777777" w:rsidTr="002D7023">
        <w:trPr>
          <w:trHeight w:val="329"/>
          <w:tblHeader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42CEA563" w14:textId="77777777" w:rsidR="00467526" w:rsidRPr="008C3085" w:rsidRDefault="00467526" w:rsidP="00467526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Support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0CABA05C" w14:textId="58097054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999" w:type="pct"/>
            <w:vAlign w:val="center"/>
          </w:tcPr>
          <w:p w14:paraId="68596945" w14:textId="3F5324A1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16%</w:t>
            </w:r>
          </w:p>
        </w:tc>
        <w:tc>
          <w:tcPr>
            <w:tcW w:w="999" w:type="pct"/>
            <w:vAlign w:val="center"/>
          </w:tcPr>
          <w:p w14:paraId="4AA46917" w14:textId="20F7EEE4" w:rsidR="00467526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24%</w:t>
            </w:r>
          </w:p>
        </w:tc>
        <w:tc>
          <w:tcPr>
            <w:tcW w:w="998" w:type="pct"/>
            <w:vAlign w:val="center"/>
          </w:tcPr>
          <w:p w14:paraId="320B89AF" w14:textId="0148384C" w:rsidR="00467526" w:rsidRDefault="00467526" w:rsidP="0046752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14</w:t>
            </w:r>
            <w:r w:rsidRPr="008C3085">
              <w:rPr>
                <w:rFonts w:eastAsia="Times New Roman" w:cs="Arial"/>
                <w:color w:val="000000"/>
                <w:szCs w:val="24"/>
                <w:lang w:eastAsia="en-GB"/>
              </w:rPr>
              <w:t>%</w:t>
            </w:r>
          </w:p>
        </w:tc>
      </w:tr>
      <w:tr w:rsidR="00467526" w:rsidRPr="00CD7449" w14:paraId="49CA933D" w14:textId="77777777" w:rsidTr="002D7023">
        <w:trPr>
          <w:trHeight w:val="329"/>
          <w:tblHeader/>
        </w:trPr>
        <w:tc>
          <w:tcPr>
            <w:tcW w:w="1003" w:type="pct"/>
            <w:shd w:val="clear" w:color="auto" w:fill="auto"/>
            <w:noWrap/>
            <w:vAlign w:val="center"/>
            <w:hideMark/>
          </w:tcPr>
          <w:p w14:paraId="09F58A48" w14:textId="77777777" w:rsidR="00467526" w:rsidRPr="008C3085" w:rsidRDefault="00467526" w:rsidP="0046752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All Staff Total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14:paraId="2BC69B70" w14:textId="4ABF94C0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79</w:t>
            </w:r>
          </w:p>
        </w:tc>
        <w:tc>
          <w:tcPr>
            <w:tcW w:w="999" w:type="pct"/>
            <w:vAlign w:val="center"/>
          </w:tcPr>
          <w:p w14:paraId="7D195330" w14:textId="77777777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szCs w:val="24"/>
                <w:lang w:eastAsia="en-GB"/>
              </w:rPr>
              <w:t>-</w:t>
            </w:r>
          </w:p>
        </w:tc>
        <w:tc>
          <w:tcPr>
            <w:tcW w:w="999" w:type="pct"/>
            <w:vAlign w:val="center"/>
          </w:tcPr>
          <w:p w14:paraId="305BF75C" w14:textId="62945414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998" w:type="pct"/>
            <w:vAlign w:val="center"/>
          </w:tcPr>
          <w:p w14:paraId="472F7BE7" w14:textId="20607B03" w:rsidR="00467526" w:rsidRPr="008C3085" w:rsidRDefault="00467526" w:rsidP="00467526">
            <w:pPr>
              <w:spacing w:line="240" w:lineRule="auto"/>
              <w:jc w:val="center"/>
              <w:rPr>
                <w:rFonts w:eastAsia="Times New Roman" w:cs="Arial"/>
                <w:bCs/>
                <w:color w:val="000000"/>
                <w:szCs w:val="24"/>
                <w:lang w:eastAsia="en-GB"/>
              </w:rPr>
            </w:pPr>
            <w:r w:rsidRPr="008C3085">
              <w:rPr>
                <w:rFonts w:eastAsia="Times New Roman" w:cs="Arial"/>
                <w:bCs/>
                <w:color w:val="000000"/>
                <w:szCs w:val="24"/>
                <w:lang w:eastAsia="en-GB"/>
              </w:rPr>
              <w:t>-</w:t>
            </w:r>
          </w:p>
        </w:tc>
      </w:tr>
    </w:tbl>
    <w:p w14:paraId="7B7F5CFB" w14:textId="77777777" w:rsidR="00F0263E" w:rsidRPr="00CD7449" w:rsidRDefault="00F0263E" w:rsidP="00892C77">
      <w:pPr>
        <w:rPr>
          <w:rFonts w:cs="Arial"/>
        </w:rPr>
      </w:pPr>
    </w:p>
    <w:p w14:paraId="601EF082" w14:textId="77777777" w:rsidR="001D5AA8" w:rsidRPr="00892C77" w:rsidRDefault="001D5AA8" w:rsidP="00892C77">
      <w:pPr>
        <w:rPr>
          <w:rFonts w:cs="Arial"/>
          <w:b/>
        </w:rPr>
      </w:pPr>
      <w:r w:rsidRPr="00892C77">
        <w:rPr>
          <w:rFonts w:cs="Arial"/>
          <w:b/>
        </w:rPr>
        <w:t>Commentary</w:t>
      </w:r>
    </w:p>
    <w:p w14:paraId="1DFD97A6" w14:textId="77777777" w:rsidR="001D5AA8" w:rsidRPr="000251C3" w:rsidRDefault="007E30B0" w:rsidP="00892C77">
      <w:pPr>
        <w:rPr>
          <w:rFonts w:cs="Arial"/>
        </w:rPr>
      </w:pPr>
      <w:r w:rsidRPr="000251C3">
        <w:rPr>
          <w:rFonts w:cs="Arial"/>
        </w:rPr>
        <w:t>Due to curr</w:t>
      </w:r>
      <w:r w:rsidR="00EA4184">
        <w:rPr>
          <w:rFonts w:cs="Arial"/>
        </w:rPr>
        <w:t xml:space="preserve">ent reporting </w:t>
      </w:r>
      <w:r w:rsidR="00FF40F0">
        <w:rPr>
          <w:rFonts w:cs="Arial"/>
        </w:rPr>
        <w:t>mechanisms</w:t>
      </w:r>
      <w:r w:rsidR="00EA4184">
        <w:rPr>
          <w:rFonts w:cs="Arial"/>
        </w:rPr>
        <w:t>, these</w:t>
      </w:r>
      <w:r w:rsidRPr="000251C3">
        <w:rPr>
          <w:rFonts w:cs="Arial"/>
        </w:rPr>
        <w:t xml:space="preserve"> data only show staff who have taken a continuous two week block of paternity leave.</w:t>
      </w:r>
    </w:p>
    <w:p w14:paraId="24AF8EC7" w14:textId="75DD54A4" w:rsidR="00BE2F06" w:rsidRPr="00CD7449" w:rsidRDefault="00467526" w:rsidP="00892C77">
      <w:pPr>
        <w:rPr>
          <w:rFonts w:cs="Arial"/>
        </w:rPr>
      </w:pPr>
      <w:r>
        <w:rPr>
          <w:rFonts w:cs="Arial"/>
        </w:rPr>
        <w:t>79</w:t>
      </w:r>
      <w:r w:rsidR="003E05E5">
        <w:rPr>
          <w:rFonts w:cs="Arial"/>
        </w:rPr>
        <w:t xml:space="preserve"> staff took paternity leave in 202</w:t>
      </w:r>
      <w:r>
        <w:rPr>
          <w:rFonts w:cs="Arial"/>
        </w:rPr>
        <w:t>1</w:t>
      </w:r>
      <w:r w:rsidR="003E05E5">
        <w:rPr>
          <w:rFonts w:cs="Arial"/>
        </w:rPr>
        <w:t>-2</w:t>
      </w:r>
      <w:r>
        <w:rPr>
          <w:rFonts w:cs="Arial"/>
        </w:rPr>
        <w:t>2</w:t>
      </w:r>
      <w:r w:rsidR="003E05E5">
        <w:rPr>
          <w:rFonts w:cs="Arial"/>
        </w:rPr>
        <w:t xml:space="preserve"> compared to </w:t>
      </w:r>
      <w:r w:rsidR="00581793">
        <w:rPr>
          <w:rFonts w:cs="Arial"/>
        </w:rPr>
        <w:t>6</w:t>
      </w:r>
      <w:r>
        <w:rPr>
          <w:rFonts w:cs="Arial"/>
        </w:rPr>
        <w:t>3</w:t>
      </w:r>
      <w:r w:rsidR="001D4EF2" w:rsidRPr="000251C3">
        <w:rPr>
          <w:rFonts w:cs="Arial"/>
        </w:rPr>
        <w:t xml:space="preserve"> </w:t>
      </w:r>
      <w:r w:rsidR="00757328" w:rsidRPr="000251C3">
        <w:rPr>
          <w:rFonts w:cs="Arial"/>
        </w:rPr>
        <w:t>in 20</w:t>
      </w:r>
      <w:r>
        <w:rPr>
          <w:rFonts w:cs="Arial"/>
        </w:rPr>
        <w:t>20</w:t>
      </w:r>
      <w:r w:rsidR="00757328" w:rsidRPr="000251C3">
        <w:rPr>
          <w:rFonts w:cs="Arial"/>
        </w:rPr>
        <w:t>-</w:t>
      </w:r>
      <w:r>
        <w:rPr>
          <w:rFonts w:cs="Arial"/>
        </w:rPr>
        <w:t>21</w:t>
      </w:r>
      <w:r w:rsidR="001D4EF2" w:rsidRPr="000251C3">
        <w:rPr>
          <w:rFonts w:cs="Arial"/>
        </w:rPr>
        <w:t xml:space="preserve">. </w:t>
      </w:r>
      <w:r w:rsidR="007E30B0" w:rsidRPr="000251C3">
        <w:rPr>
          <w:rFonts w:cs="Arial"/>
        </w:rPr>
        <w:t>O</w:t>
      </w:r>
      <w:r w:rsidR="001D4EF2" w:rsidRPr="000251C3">
        <w:rPr>
          <w:rFonts w:cs="Arial"/>
        </w:rPr>
        <w:t>f the sta</w:t>
      </w:r>
      <w:r w:rsidR="007E30B0" w:rsidRPr="000251C3">
        <w:rPr>
          <w:rFonts w:cs="Arial"/>
        </w:rPr>
        <w:t xml:space="preserve">ff that took paternity leave, the largest job </w:t>
      </w:r>
      <w:r w:rsidR="0066565B" w:rsidRPr="000251C3">
        <w:rPr>
          <w:rFonts w:cs="Arial"/>
        </w:rPr>
        <w:t>category was</w:t>
      </w:r>
      <w:r w:rsidR="006F115E">
        <w:rPr>
          <w:rFonts w:cs="Arial"/>
        </w:rPr>
        <w:t xml:space="preserve"> academic (</w:t>
      </w:r>
      <w:r w:rsidR="0067503C">
        <w:rPr>
          <w:rFonts w:cs="Arial"/>
        </w:rPr>
        <w:t>73</w:t>
      </w:r>
      <w:r w:rsidR="001D4EF2" w:rsidRPr="000251C3">
        <w:rPr>
          <w:rFonts w:cs="Arial"/>
        </w:rPr>
        <w:t>%</w:t>
      </w:r>
      <w:r w:rsidR="007E30B0" w:rsidRPr="000251C3">
        <w:rPr>
          <w:rFonts w:cs="Arial"/>
        </w:rPr>
        <w:t>)</w:t>
      </w:r>
      <w:r w:rsidR="000251C3">
        <w:rPr>
          <w:rFonts w:cs="Arial"/>
        </w:rPr>
        <w:t>.</w:t>
      </w:r>
    </w:p>
    <w:sectPr w:rsidR="00BE2F06" w:rsidRPr="00CD7449" w:rsidSect="00927E7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8AAA" w14:textId="77777777" w:rsidR="00721640" w:rsidRDefault="00721640" w:rsidP="00562C84">
      <w:pPr>
        <w:spacing w:after="0" w:line="240" w:lineRule="auto"/>
      </w:pPr>
      <w:r>
        <w:separator/>
      </w:r>
    </w:p>
  </w:endnote>
  <w:endnote w:type="continuationSeparator" w:id="0">
    <w:p w14:paraId="3E274158" w14:textId="77777777" w:rsidR="00721640" w:rsidRDefault="00721640" w:rsidP="0056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5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9DFAA" w14:textId="77777777" w:rsidR="0007459E" w:rsidRDefault="007E3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467D69" w14:textId="77777777" w:rsidR="0007459E" w:rsidRDefault="0007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6083" w14:textId="77777777" w:rsidR="00721640" w:rsidRDefault="00721640" w:rsidP="00562C84">
      <w:pPr>
        <w:spacing w:after="0" w:line="240" w:lineRule="auto"/>
      </w:pPr>
      <w:r>
        <w:separator/>
      </w:r>
    </w:p>
  </w:footnote>
  <w:footnote w:type="continuationSeparator" w:id="0">
    <w:p w14:paraId="16C4E474" w14:textId="77777777" w:rsidR="00721640" w:rsidRDefault="00721640" w:rsidP="00562C84">
      <w:pPr>
        <w:spacing w:after="0" w:line="240" w:lineRule="auto"/>
      </w:pPr>
      <w:r>
        <w:continuationSeparator/>
      </w:r>
    </w:p>
  </w:footnote>
  <w:footnote w:id="1">
    <w:p w14:paraId="23002784" w14:textId="77777777" w:rsidR="002F6297" w:rsidRPr="00892C77" w:rsidRDefault="002F6297">
      <w:pPr>
        <w:pStyle w:val="FootnoteText"/>
        <w:rPr>
          <w:rFonts w:cs="Arial"/>
          <w:sz w:val="24"/>
          <w:szCs w:val="24"/>
        </w:rPr>
      </w:pPr>
      <w:r w:rsidRPr="00892C77">
        <w:rPr>
          <w:rStyle w:val="FootnoteReference"/>
          <w:rFonts w:cs="Arial"/>
          <w:sz w:val="24"/>
          <w:szCs w:val="24"/>
        </w:rPr>
        <w:footnoteRef/>
      </w:r>
      <w:r w:rsidRPr="00892C77">
        <w:rPr>
          <w:rFonts w:cs="Arial"/>
          <w:sz w:val="24"/>
          <w:szCs w:val="24"/>
        </w:rPr>
        <w:t xml:space="preserve"> </w:t>
      </w:r>
      <w:r w:rsidR="00FB5228" w:rsidRPr="00892C77">
        <w:rPr>
          <w:rFonts w:cs="Arial"/>
          <w:sz w:val="24"/>
          <w:szCs w:val="24"/>
        </w:rPr>
        <w:t xml:space="preserve">Not all staff taking paternity leave are included; the data only currently show those that take it in a block of </w:t>
      </w:r>
      <w:r w:rsidR="00280EFD" w:rsidRPr="00892C77">
        <w:rPr>
          <w:rFonts w:cs="Arial"/>
          <w:sz w:val="24"/>
          <w:szCs w:val="24"/>
        </w:rPr>
        <w:t>two</w:t>
      </w:r>
      <w:r w:rsidR="00FB5228" w:rsidRPr="00892C77">
        <w:rPr>
          <w:rFonts w:cs="Arial"/>
          <w:sz w:val="24"/>
          <w:szCs w:val="24"/>
        </w:rPr>
        <w:t xml:space="preserve"> weeks, due to current recording </w:t>
      </w:r>
      <w:r w:rsidR="00895B29" w:rsidRPr="00892C77">
        <w:rPr>
          <w:rFonts w:cs="Arial"/>
          <w:sz w:val="24"/>
          <w:szCs w:val="24"/>
        </w:rPr>
        <w:t>mechanisms</w:t>
      </w:r>
      <w:r w:rsidR="00FB5228" w:rsidRPr="00892C77">
        <w:rPr>
          <w:rFonts w:cs="Arial"/>
          <w:sz w:val="24"/>
          <w:szCs w:val="24"/>
        </w:rPr>
        <w:t xml:space="preserve"> in relation to pate</w:t>
      </w:r>
      <w:r w:rsidR="0008329C" w:rsidRPr="00892C77">
        <w:rPr>
          <w:rFonts w:cs="Arial"/>
          <w:sz w:val="24"/>
          <w:szCs w:val="24"/>
        </w:rPr>
        <w:t>rnity pay. Our recording of these</w:t>
      </w:r>
      <w:r w:rsidR="00FB5228" w:rsidRPr="00892C77">
        <w:rPr>
          <w:rFonts w:cs="Arial"/>
          <w:sz w:val="24"/>
          <w:szCs w:val="24"/>
        </w:rPr>
        <w:t xml:space="preserve"> data will be reviewed to investigate capturing paternity leave where days are taken </w:t>
      </w:r>
      <w:r w:rsidR="0045724F" w:rsidRPr="00892C77">
        <w:rPr>
          <w:rFonts w:cs="Arial"/>
          <w:sz w:val="24"/>
          <w:szCs w:val="24"/>
        </w:rPr>
        <w:t>over a longer period</w:t>
      </w:r>
      <w:r w:rsidR="00FB5228" w:rsidRPr="00892C77">
        <w:rPr>
          <w:rFonts w:cs="Arial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20D63"/>
    <w:rsid w:val="000251C3"/>
    <w:rsid w:val="0003195D"/>
    <w:rsid w:val="000340CE"/>
    <w:rsid w:val="00046166"/>
    <w:rsid w:val="00053781"/>
    <w:rsid w:val="000613EF"/>
    <w:rsid w:val="0007459E"/>
    <w:rsid w:val="0008104A"/>
    <w:rsid w:val="0008329C"/>
    <w:rsid w:val="00084210"/>
    <w:rsid w:val="00084ECE"/>
    <w:rsid w:val="0008544D"/>
    <w:rsid w:val="000922D4"/>
    <w:rsid w:val="00094B9F"/>
    <w:rsid w:val="000B198B"/>
    <w:rsid w:val="000B1D43"/>
    <w:rsid w:val="000B6141"/>
    <w:rsid w:val="000C5543"/>
    <w:rsid w:val="001068F8"/>
    <w:rsid w:val="0012707B"/>
    <w:rsid w:val="0013102B"/>
    <w:rsid w:val="0014518E"/>
    <w:rsid w:val="0018715C"/>
    <w:rsid w:val="00191AD3"/>
    <w:rsid w:val="00191BC6"/>
    <w:rsid w:val="00194DD6"/>
    <w:rsid w:val="001A0006"/>
    <w:rsid w:val="001A38AA"/>
    <w:rsid w:val="001A5006"/>
    <w:rsid w:val="001A6E93"/>
    <w:rsid w:val="001C011C"/>
    <w:rsid w:val="001C0E3E"/>
    <w:rsid w:val="001C6B94"/>
    <w:rsid w:val="001D17CC"/>
    <w:rsid w:val="001D4EF2"/>
    <w:rsid w:val="001D5AA8"/>
    <w:rsid w:val="001E578C"/>
    <w:rsid w:val="002013C7"/>
    <w:rsid w:val="00206861"/>
    <w:rsid w:val="00216150"/>
    <w:rsid w:val="0023403D"/>
    <w:rsid w:val="002361F7"/>
    <w:rsid w:val="00245278"/>
    <w:rsid w:val="002461BF"/>
    <w:rsid w:val="00247D85"/>
    <w:rsid w:val="0026527B"/>
    <w:rsid w:val="0027060B"/>
    <w:rsid w:val="002753DC"/>
    <w:rsid w:val="002763C4"/>
    <w:rsid w:val="00280EFD"/>
    <w:rsid w:val="0029335C"/>
    <w:rsid w:val="00294F55"/>
    <w:rsid w:val="002958BB"/>
    <w:rsid w:val="002A4A0E"/>
    <w:rsid w:val="002A50B1"/>
    <w:rsid w:val="002C0E3F"/>
    <w:rsid w:val="002C442E"/>
    <w:rsid w:val="002D2A57"/>
    <w:rsid w:val="002D7023"/>
    <w:rsid w:val="002E467D"/>
    <w:rsid w:val="002F1563"/>
    <w:rsid w:val="002F6297"/>
    <w:rsid w:val="00330FA7"/>
    <w:rsid w:val="00333418"/>
    <w:rsid w:val="00365596"/>
    <w:rsid w:val="00374C2A"/>
    <w:rsid w:val="00377DC0"/>
    <w:rsid w:val="0039528E"/>
    <w:rsid w:val="003B7DDB"/>
    <w:rsid w:val="003E05E5"/>
    <w:rsid w:val="003F51DB"/>
    <w:rsid w:val="004213FE"/>
    <w:rsid w:val="00431DAB"/>
    <w:rsid w:val="00434260"/>
    <w:rsid w:val="00446C71"/>
    <w:rsid w:val="0045724F"/>
    <w:rsid w:val="004654E2"/>
    <w:rsid w:val="00467526"/>
    <w:rsid w:val="00476A3D"/>
    <w:rsid w:val="00480A08"/>
    <w:rsid w:val="0049003E"/>
    <w:rsid w:val="00490CE6"/>
    <w:rsid w:val="004948FF"/>
    <w:rsid w:val="00495A66"/>
    <w:rsid w:val="004A13E5"/>
    <w:rsid w:val="004A22E0"/>
    <w:rsid w:val="004C0145"/>
    <w:rsid w:val="004E55C1"/>
    <w:rsid w:val="004E6AD2"/>
    <w:rsid w:val="004E6FAA"/>
    <w:rsid w:val="004F2EC7"/>
    <w:rsid w:val="004F3134"/>
    <w:rsid w:val="004F50C9"/>
    <w:rsid w:val="004F5433"/>
    <w:rsid w:val="005046D0"/>
    <w:rsid w:val="00504701"/>
    <w:rsid w:val="005105DB"/>
    <w:rsid w:val="005230CF"/>
    <w:rsid w:val="00524D71"/>
    <w:rsid w:val="00525166"/>
    <w:rsid w:val="00536D6C"/>
    <w:rsid w:val="005471E4"/>
    <w:rsid w:val="00551AAD"/>
    <w:rsid w:val="00561339"/>
    <w:rsid w:val="00562C84"/>
    <w:rsid w:val="005641D6"/>
    <w:rsid w:val="005673B4"/>
    <w:rsid w:val="0057166B"/>
    <w:rsid w:val="00572D3E"/>
    <w:rsid w:val="00581220"/>
    <w:rsid w:val="00581793"/>
    <w:rsid w:val="00582A9F"/>
    <w:rsid w:val="005843C6"/>
    <w:rsid w:val="00586EAC"/>
    <w:rsid w:val="005A53EE"/>
    <w:rsid w:val="005C39D4"/>
    <w:rsid w:val="005E65BD"/>
    <w:rsid w:val="00601FB5"/>
    <w:rsid w:val="00620924"/>
    <w:rsid w:val="0062139E"/>
    <w:rsid w:val="00621E00"/>
    <w:rsid w:val="00625775"/>
    <w:rsid w:val="00636985"/>
    <w:rsid w:val="00650017"/>
    <w:rsid w:val="0066451C"/>
    <w:rsid w:val="0066565B"/>
    <w:rsid w:val="0067003C"/>
    <w:rsid w:val="00672ECC"/>
    <w:rsid w:val="00674D62"/>
    <w:rsid w:val="0067503C"/>
    <w:rsid w:val="0067538F"/>
    <w:rsid w:val="006A2D24"/>
    <w:rsid w:val="006A5388"/>
    <w:rsid w:val="006A5E61"/>
    <w:rsid w:val="006C08B8"/>
    <w:rsid w:val="006E5A23"/>
    <w:rsid w:val="006E6FF6"/>
    <w:rsid w:val="006F115E"/>
    <w:rsid w:val="00721640"/>
    <w:rsid w:val="00721B90"/>
    <w:rsid w:val="00722EA6"/>
    <w:rsid w:val="0072519D"/>
    <w:rsid w:val="00753882"/>
    <w:rsid w:val="00757328"/>
    <w:rsid w:val="00774EF3"/>
    <w:rsid w:val="007755C2"/>
    <w:rsid w:val="007A5578"/>
    <w:rsid w:val="007D2B44"/>
    <w:rsid w:val="007E30B0"/>
    <w:rsid w:val="007E31D3"/>
    <w:rsid w:val="007E3A00"/>
    <w:rsid w:val="007E4587"/>
    <w:rsid w:val="007E45C3"/>
    <w:rsid w:val="00810532"/>
    <w:rsid w:val="008113BF"/>
    <w:rsid w:val="00812EA7"/>
    <w:rsid w:val="00826177"/>
    <w:rsid w:val="00833327"/>
    <w:rsid w:val="00833C19"/>
    <w:rsid w:val="00851A9D"/>
    <w:rsid w:val="00864C7F"/>
    <w:rsid w:val="00867E8D"/>
    <w:rsid w:val="00892C77"/>
    <w:rsid w:val="00895B29"/>
    <w:rsid w:val="008B497F"/>
    <w:rsid w:val="008C091D"/>
    <w:rsid w:val="008C3085"/>
    <w:rsid w:val="008C5DD7"/>
    <w:rsid w:val="008C691E"/>
    <w:rsid w:val="008E09B1"/>
    <w:rsid w:val="008E66D7"/>
    <w:rsid w:val="00902725"/>
    <w:rsid w:val="00903FD0"/>
    <w:rsid w:val="00921468"/>
    <w:rsid w:val="00924FF4"/>
    <w:rsid w:val="00927E77"/>
    <w:rsid w:val="00932E1A"/>
    <w:rsid w:val="009461DD"/>
    <w:rsid w:val="0095797B"/>
    <w:rsid w:val="00982019"/>
    <w:rsid w:val="0099490F"/>
    <w:rsid w:val="009A4922"/>
    <w:rsid w:val="009B05A4"/>
    <w:rsid w:val="009B163F"/>
    <w:rsid w:val="009B570E"/>
    <w:rsid w:val="009B66B6"/>
    <w:rsid w:val="009C58E6"/>
    <w:rsid w:val="009E3655"/>
    <w:rsid w:val="00A1265E"/>
    <w:rsid w:val="00A20C3C"/>
    <w:rsid w:val="00A20C6C"/>
    <w:rsid w:val="00A24120"/>
    <w:rsid w:val="00A25C50"/>
    <w:rsid w:val="00A27E57"/>
    <w:rsid w:val="00A4656D"/>
    <w:rsid w:val="00A53397"/>
    <w:rsid w:val="00A602AE"/>
    <w:rsid w:val="00A62AF3"/>
    <w:rsid w:val="00A7276B"/>
    <w:rsid w:val="00A74C65"/>
    <w:rsid w:val="00A84D37"/>
    <w:rsid w:val="00AB3B76"/>
    <w:rsid w:val="00AC7839"/>
    <w:rsid w:val="00AE35CF"/>
    <w:rsid w:val="00AF33FF"/>
    <w:rsid w:val="00B0289D"/>
    <w:rsid w:val="00B04D85"/>
    <w:rsid w:val="00B4150E"/>
    <w:rsid w:val="00B53BA5"/>
    <w:rsid w:val="00B704C2"/>
    <w:rsid w:val="00B736AF"/>
    <w:rsid w:val="00B762BC"/>
    <w:rsid w:val="00B87649"/>
    <w:rsid w:val="00B92465"/>
    <w:rsid w:val="00B96030"/>
    <w:rsid w:val="00BB11B9"/>
    <w:rsid w:val="00BC529F"/>
    <w:rsid w:val="00BC5D64"/>
    <w:rsid w:val="00BC6300"/>
    <w:rsid w:val="00BD704D"/>
    <w:rsid w:val="00BD7BBF"/>
    <w:rsid w:val="00BE2F06"/>
    <w:rsid w:val="00BF297D"/>
    <w:rsid w:val="00C03396"/>
    <w:rsid w:val="00C04C84"/>
    <w:rsid w:val="00C12B93"/>
    <w:rsid w:val="00C202B5"/>
    <w:rsid w:val="00C27626"/>
    <w:rsid w:val="00C40BE1"/>
    <w:rsid w:val="00C4382B"/>
    <w:rsid w:val="00C564B1"/>
    <w:rsid w:val="00C65DFF"/>
    <w:rsid w:val="00C67110"/>
    <w:rsid w:val="00C7491A"/>
    <w:rsid w:val="00C82FBA"/>
    <w:rsid w:val="00C85A6A"/>
    <w:rsid w:val="00C904A6"/>
    <w:rsid w:val="00C948C3"/>
    <w:rsid w:val="00CA271F"/>
    <w:rsid w:val="00CA65C2"/>
    <w:rsid w:val="00CA7CCA"/>
    <w:rsid w:val="00CB0CEF"/>
    <w:rsid w:val="00CB4A17"/>
    <w:rsid w:val="00CB5666"/>
    <w:rsid w:val="00CD1B74"/>
    <w:rsid w:val="00CD7449"/>
    <w:rsid w:val="00CE41B8"/>
    <w:rsid w:val="00CF1063"/>
    <w:rsid w:val="00CF5298"/>
    <w:rsid w:val="00D054A6"/>
    <w:rsid w:val="00D14255"/>
    <w:rsid w:val="00D16AB8"/>
    <w:rsid w:val="00D23FE4"/>
    <w:rsid w:val="00D24EA0"/>
    <w:rsid w:val="00D343F4"/>
    <w:rsid w:val="00D3478D"/>
    <w:rsid w:val="00D6346A"/>
    <w:rsid w:val="00D70AC2"/>
    <w:rsid w:val="00D70D0E"/>
    <w:rsid w:val="00D72A7E"/>
    <w:rsid w:val="00D93F67"/>
    <w:rsid w:val="00D96F41"/>
    <w:rsid w:val="00DC285E"/>
    <w:rsid w:val="00DC7308"/>
    <w:rsid w:val="00DD417B"/>
    <w:rsid w:val="00DE2246"/>
    <w:rsid w:val="00DE701B"/>
    <w:rsid w:val="00E36FCF"/>
    <w:rsid w:val="00E638F2"/>
    <w:rsid w:val="00E72FF4"/>
    <w:rsid w:val="00E75077"/>
    <w:rsid w:val="00EA4184"/>
    <w:rsid w:val="00EA4C87"/>
    <w:rsid w:val="00EC2536"/>
    <w:rsid w:val="00EC7100"/>
    <w:rsid w:val="00EE3D93"/>
    <w:rsid w:val="00EE4A95"/>
    <w:rsid w:val="00EE635A"/>
    <w:rsid w:val="00EE6C7B"/>
    <w:rsid w:val="00EF00F3"/>
    <w:rsid w:val="00EF2D24"/>
    <w:rsid w:val="00EF446F"/>
    <w:rsid w:val="00EF4AF7"/>
    <w:rsid w:val="00F0263E"/>
    <w:rsid w:val="00F15F28"/>
    <w:rsid w:val="00F17979"/>
    <w:rsid w:val="00F5162F"/>
    <w:rsid w:val="00F81CB3"/>
    <w:rsid w:val="00F8599B"/>
    <w:rsid w:val="00FA050A"/>
    <w:rsid w:val="00FA238C"/>
    <w:rsid w:val="00FB5228"/>
    <w:rsid w:val="00FB77A1"/>
    <w:rsid w:val="00FC57AB"/>
    <w:rsid w:val="00FD48D4"/>
    <w:rsid w:val="00FE1BE7"/>
    <w:rsid w:val="00FF0686"/>
    <w:rsid w:val="00FF1735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079B"/>
  <w15:docId w15:val="{FFF506C3-267D-4BFB-9AB4-9C8E713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77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C77"/>
    <w:pPr>
      <w:keepNext/>
      <w:keepLines/>
      <w:spacing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C7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C7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C77"/>
    <w:rPr>
      <w:rFonts w:ascii="Arial" w:eastAsiaTheme="majorEastAsia" w:hAnsi="Arial" w:cstheme="majorBidi"/>
      <w:b/>
      <w:bCs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84"/>
  </w:style>
  <w:style w:type="paragraph" w:styleId="Footer">
    <w:name w:val="footer"/>
    <w:basedOn w:val="Normal"/>
    <w:link w:val="FooterChar"/>
    <w:uiPriority w:val="99"/>
    <w:unhideWhenUsed/>
    <w:rsid w:val="00562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84"/>
  </w:style>
  <w:style w:type="paragraph" w:styleId="FootnoteText">
    <w:name w:val="footnote text"/>
    <w:basedOn w:val="Normal"/>
    <w:link w:val="FootnoteTextChar"/>
    <w:uiPriority w:val="99"/>
    <w:semiHidden/>
    <w:unhideWhenUsed/>
    <w:rsid w:val="002F62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2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29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892C77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2C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2C7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92C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E6FA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Maternity/Adoption</a:t>
            </a:r>
            <a:r>
              <a:rPr lang="en-GB" baseline="0"/>
              <a:t> Leave - All Staff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AF-4BA7-9384-0A67E7F9BF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AF-4BA7-9384-0A67E7F9BF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AF-4BA7-9384-0A67E7F9BFB9}"/>
              </c:ext>
            </c:extLst>
          </c:dPt>
          <c:dLbls>
            <c:dLbl>
              <c:idx val="1"/>
              <c:layout>
                <c:manualLayout>
                  <c:x val="0.18611111111111112"/>
                  <c:y val="-2.31481481481481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526640419947505"/>
                      <c:h val="0.116730825313502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FAF-4BA7-9384-0A67E7F9BF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Maternity!$A$2:$A$4</c:f>
              <c:strCache>
                <c:ptCount val="3"/>
                <c:pt idx="0">
                  <c:v>Academic</c:v>
                </c:pt>
                <c:pt idx="1">
                  <c:v>Prof &amp; Man</c:v>
                </c:pt>
                <c:pt idx="2">
                  <c:v>Support</c:v>
                </c:pt>
              </c:strCache>
            </c:strRef>
          </c:cat>
          <c:val>
            <c:numRef>
              <c:f>Maternity!$B$2:$B$4</c:f>
              <c:numCache>
                <c:formatCode>0</c:formatCode>
                <c:ptCount val="3"/>
                <c:pt idx="0">
                  <c:v>38.650306748466257</c:v>
                </c:pt>
                <c:pt idx="1">
                  <c:v>23.312883435582819</c:v>
                </c:pt>
                <c:pt idx="2">
                  <c:v>38.036809815950924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AF-4BA7-9384-0A67E7F9B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Return to work</a:t>
            </a:r>
            <a:r>
              <a:rPr lang="en-GB" baseline="0"/>
              <a:t> after maternity/adoption leave - All Staff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33-418F-B333-A3C7EBEF12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33-418F-B333-A3C7EBEF12F3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Maternity!$T$3:$T$4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Maternity!$U$3:$U$4</c:f>
              <c:numCache>
                <c:formatCode>General</c:formatCode>
                <c:ptCount val="2"/>
                <c:pt idx="0">
                  <c:v>13</c:v>
                </c:pt>
                <c:pt idx="1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33-418F-B333-A3C7EBEF1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Paternity</a:t>
            </a:r>
            <a:r>
              <a:rPr lang="en-GB" baseline="0"/>
              <a:t> leave - All Staff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9E-407F-BD3F-737106EE5E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9E-407F-BD3F-737106EE5E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9E-407F-BD3F-737106EE5E69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Maternity!$L$3:$L$5</c:f>
              <c:strCache>
                <c:ptCount val="3"/>
                <c:pt idx="0">
                  <c:v>Academic</c:v>
                </c:pt>
                <c:pt idx="1">
                  <c:v>Prof &amp; Man</c:v>
                </c:pt>
                <c:pt idx="2">
                  <c:v>Support</c:v>
                </c:pt>
              </c:strCache>
            </c:strRef>
          </c:cat>
          <c:val>
            <c:numRef>
              <c:f>Maternity!$M$3:$M$5</c:f>
              <c:numCache>
                <c:formatCode>0</c:formatCode>
                <c:ptCount val="3"/>
                <c:pt idx="0">
                  <c:v>73.417721518987349</c:v>
                </c:pt>
                <c:pt idx="1">
                  <c:v>12.658227848101266</c:v>
                </c:pt>
                <c:pt idx="2">
                  <c:v>13.924050632911392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9E-407F-BD3F-737106EE5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59EF4-E1D9-44D1-8031-82F3070D5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1D438-BC30-45A2-99C2-C16F76DF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AC1BF-DEFC-4B05-93E4-E86679A7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C0ADD-7E33-41A0-82F2-95644D8DC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Riley</dc:creator>
  <cp:keywords/>
  <dc:description/>
  <cp:lastModifiedBy>Claire Owen</cp:lastModifiedBy>
  <cp:revision>14</cp:revision>
  <cp:lastPrinted>2014-01-16T09:29:00Z</cp:lastPrinted>
  <dcterms:created xsi:type="dcterms:W3CDTF">2023-01-24T15:37:00Z</dcterms:created>
  <dcterms:modified xsi:type="dcterms:W3CDTF">2023-01-30T11:07:00Z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