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96ED9" w14:textId="7B865C02" w:rsidR="00DE7B58" w:rsidRDefault="00DE7B58" w:rsidP="00C12816">
      <w:pPr>
        <w:pStyle w:val="Heading1"/>
      </w:pPr>
      <w:bookmarkStart w:id="0" w:name="_Toc56593210"/>
      <w:r w:rsidRPr="00511B40">
        <w:t>University of Leeds</w:t>
      </w:r>
      <w:r w:rsidR="000040EA" w:rsidRPr="00511B40">
        <w:t xml:space="preserve"> – Academic</w:t>
      </w:r>
      <w:r w:rsidR="000040EA" w:rsidRPr="00511B40">
        <w:rPr>
          <w:rStyle w:val="FootnoteReference"/>
          <w:rFonts w:cs="Arial"/>
          <w:sz w:val="36"/>
          <w:szCs w:val="36"/>
        </w:rPr>
        <w:footnoteReference w:id="1"/>
      </w:r>
      <w:r w:rsidR="00FB6B60" w:rsidRPr="00511B40">
        <w:t xml:space="preserve"> staff p</w:t>
      </w:r>
      <w:r w:rsidRPr="00511B40">
        <w:t xml:space="preserve">romotions data </w:t>
      </w:r>
      <w:r w:rsidR="00511B40">
        <w:t>1 August 20</w:t>
      </w:r>
      <w:r w:rsidR="002F6F32">
        <w:t>20</w:t>
      </w:r>
      <w:r w:rsidRPr="00511B40">
        <w:t xml:space="preserve"> – 31 July </w:t>
      </w:r>
      <w:r w:rsidR="001F3CC7" w:rsidRPr="00511B40">
        <w:t>20</w:t>
      </w:r>
      <w:r w:rsidR="0071401D">
        <w:t>2</w:t>
      </w:r>
      <w:bookmarkEnd w:id="0"/>
      <w:r w:rsidR="002F6F32">
        <w:t>1</w:t>
      </w:r>
    </w:p>
    <w:p w14:paraId="0CAE3F65" w14:textId="77777777" w:rsidR="00C12816" w:rsidRDefault="00C12816" w:rsidP="00C12816"/>
    <w:sdt>
      <w:sdtPr>
        <w:rPr>
          <w:rFonts w:ascii="Arial" w:eastAsiaTheme="minorEastAsia" w:hAnsi="Arial" w:cstheme="minorBidi"/>
          <w:color w:val="auto"/>
          <w:sz w:val="24"/>
          <w:szCs w:val="22"/>
          <w:lang w:val="en-GB" w:eastAsia="ja-JP"/>
        </w:rPr>
        <w:id w:val="1192787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3C2C0E3" w14:textId="77777777" w:rsidR="00C12816" w:rsidRPr="00C12816" w:rsidRDefault="00C12816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C12816">
            <w:rPr>
              <w:rFonts w:ascii="Arial" w:hAnsi="Arial" w:cs="Arial"/>
              <w:b/>
              <w:color w:val="auto"/>
            </w:rPr>
            <w:t>Contents</w:t>
          </w:r>
        </w:p>
        <w:p w14:paraId="316E8AF9" w14:textId="77777777" w:rsidR="00C12816" w:rsidRPr="00C12816" w:rsidRDefault="00C12816">
          <w:pPr>
            <w:pStyle w:val="TOC1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r w:rsidRPr="00C12816">
            <w:rPr>
              <w:rFonts w:cs="Arial"/>
            </w:rPr>
            <w:fldChar w:fldCharType="begin"/>
          </w:r>
          <w:r w:rsidRPr="00C12816">
            <w:rPr>
              <w:rFonts w:cs="Arial"/>
            </w:rPr>
            <w:instrText xml:space="preserve"> TOC \o "1-3" \h \z \u </w:instrText>
          </w:r>
          <w:r w:rsidRPr="00C12816">
            <w:rPr>
              <w:rFonts w:cs="Arial"/>
            </w:rPr>
            <w:fldChar w:fldCharType="separate"/>
          </w:r>
        </w:p>
        <w:p w14:paraId="78D6495F" w14:textId="77777777" w:rsidR="00C12816" w:rsidRPr="00C12816" w:rsidRDefault="000D6D1A">
          <w:pPr>
            <w:pStyle w:val="TOC2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1" w:history="1">
            <w:r w:rsidR="00C12816" w:rsidRPr="00C12816">
              <w:rPr>
                <w:rStyle w:val="Hyperlink"/>
                <w:rFonts w:cs="Arial"/>
                <w:noProof/>
              </w:rPr>
              <w:t>Introduction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_Toc56593211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1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4FC9B653" w14:textId="77777777" w:rsidR="00C12816" w:rsidRPr="00C12816" w:rsidRDefault="000D6D1A">
          <w:pPr>
            <w:pStyle w:val="TOC2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2" w:history="1">
            <w:r w:rsidR="00C12816" w:rsidRPr="00C12816">
              <w:rPr>
                <w:rStyle w:val="Hyperlink"/>
                <w:rFonts w:cs="Arial"/>
                <w:noProof/>
              </w:rPr>
              <w:t>Up to &amp; including Grade 9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_Toc56593212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2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8646EE3" w14:textId="77777777" w:rsidR="00C12816" w:rsidRPr="00C12816" w:rsidRDefault="000D6D1A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3" w:history="1">
            <w:r w:rsidR="00C12816" w:rsidRPr="00C12816">
              <w:rPr>
                <w:rStyle w:val="Hyperlink"/>
                <w:rFonts w:cs="Arial"/>
                <w:noProof/>
              </w:rPr>
              <w:t>Age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_Toc56593213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2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FFEC10D" w14:textId="77777777" w:rsidR="00C12816" w:rsidRPr="00C12816" w:rsidRDefault="000D6D1A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4" w:history="1">
            <w:r w:rsidR="00C12816" w:rsidRPr="00C12816">
              <w:rPr>
                <w:rStyle w:val="Hyperlink"/>
                <w:rFonts w:cs="Arial"/>
                <w:noProof/>
              </w:rPr>
              <w:t>Disability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_Toc56593214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3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B40C73F" w14:textId="77777777" w:rsidR="00C12816" w:rsidRPr="00C12816" w:rsidRDefault="000D6D1A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5" w:history="1">
            <w:r w:rsidR="00C12816" w:rsidRPr="00C12816">
              <w:rPr>
                <w:rStyle w:val="Hyperlink"/>
                <w:rFonts w:cs="Arial"/>
                <w:noProof/>
              </w:rPr>
              <w:t>Ethnicity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_Toc56593215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3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F288637" w14:textId="77777777" w:rsidR="00C12816" w:rsidRPr="00C12816" w:rsidRDefault="000D6D1A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6" w:history="1">
            <w:r w:rsidR="00C12816" w:rsidRPr="00C12816">
              <w:rPr>
                <w:rStyle w:val="Hyperlink"/>
                <w:rFonts w:cs="Arial"/>
                <w:noProof/>
              </w:rPr>
              <w:t>Gender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_Toc56593216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4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0B1CD04" w14:textId="77777777" w:rsidR="00C12816" w:rsidRPr="00C12816" w:rsidRDefault="000D6D1A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7" w:history="1">
            <w:r w:rsidR="00C12816" w:rsidRPr="00C12816">
              <w:rPr>
                <w:rStyle w:val="Hyperlink"/>
                <w:rFonts w:cs="Arial"/>
                <w:noProof/>
              </w:rPr>
              <w:t>Religion or Belief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_Toc56593217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4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012CE8D" w14:textId="77777777" w:rsidR="00C12816" w:rsidRPr="00C12816" w:rsidRDefault="000D6D1A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8" w:history="1">
            <w:r w:rsidR="00C12816" w:rsidRPr="00C12816">
              <w:rPr>
                <w:rStyle w:val="Hyperlink"/>
                <w:rFonts w:cs="Arial"/>
                <w:noProof/>
              </w:rPr>
              <w:t>Sexual Orientation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_Toc56593218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5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3C8A9E43" w14:textId="77777777" w:rsidR="00C12816" w:rsidRPr="00C12816" w:rsidRDefault="000D6D1A">
          <w:pPr>
            <w:pStyle w:val="TOC2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19" w:history="1">
            <w:r w:rsidR="00C12816" w:rsidRPr="00C12816">
              <w:rPr>
                <w:rStyle w:val="Hyperlink"/>
                <w:rFonts w:cs="Arial"/>
                <w:noProof/>
              </w:rPr>
              <w:t xml:space="preserve">Grade 10 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_Toc56593219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6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CE63C2B" w14:textId="77777777" w:rsidR="00C12816" w:rsidRPr="00C12816" w:rsidRDefault="000D6D1A">
          <w:pPr>
            <w:pStyle w:val="TOC3"/>
            <w:tabs>
              <w:tab w:val="right" w:leader="dot" w:pos="9016"/>
            </w:tabs>
            <w:rPr>
              <w:rFonts w:cs="Arial"/>
              <w:noProof/>
              <w:sz w:val="22"/>
              <w:lang w:eastAsia="en-GB"/>
            </w:rPr>
          </w:pPr>
          <w:hyperlink w:anchor="_Toc56593220" w:history="1">
            <w:r w:rsidR="00C12816" w:rsidRPr="00C12816">
              <w:rPr>
                <w:rStyle w:val="Hyperlink"/>
                <w:rFonts w:cs="Arial"/>
                <w:noProof/>
              </w:rPr>
              <w:t>Gender</w:t>
            </w:r>
            <w:r w:rsidR="00C12816" w:rsidRPr="00C12816">
              <w:rPr>
                <w:rFonts w:cs="Arial"/>
                <w:noProof/>
                <w:webHidden/>
              </w:rPr>
              <w:tab/>
            </w:r>
            <w:r w:rsidR="00C12816" w:rsidRPr="00C12816">
              <w:rPr>
                <w:rFonts w:cs="Arial"/>
                <w:noProof/>
                <w:webHidden/>
              </w:rPr>
              <w:fldChar w:fldCharType="begin"/>
            </w:r>
            <w:r w:rsidR="00C12816" w:rsidRPr="00C12816">
              <w:rPr>
                <w:rFonts w:cs="Arial"/>
                <w:noProof/>
                <w:webHidden/>
              </w:rPr>
              <w:instrText xml:space="preserve"> PAGEREF _Toc56593220 \h </w:instrText>
            </w:r>
            <w:r w:rsidR="00C12816" w:rsidRPr="00C12816">
              <w:rPr>
                <w:rFonts w:cs="Arial"/>
                <w:noProof/>
                <w:webHidden/>
              </w:rPr>
            </w:r>
            <w:r w:rsidR="00C12816" w:rsidRPr="00C12816">
              <w:rPr>
                <w:rFonts w:cs="Arial"/>
                <w:noProof/>
                <w:webHidden/>
              </w:rPr>
              <w:fldChar w:fldCharType="separate"/>
            </w:r>
            <w:r w:rsidR="00ED34D6">
              <w:rPr>
                <w:rFonts w:cs="Arial"/>
                <w:noProof/>
                <w:webHidden/>
              </w:rPr>
              <w:t>6</w:t>
            </w:r>
            <w:r w:rsidR="00C12816" w:rsidRPr="00C12816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79F1092" w14:textId="77777777" w:rsidR="00C12816" w:rsidRDefault="00C12816">
          <w:r w:rsidRPr="00C12816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4C4B6770" w14:textId="77777777" w:rsidR="00C12816" w:rsidRDefault="00C12816" w:rsidP="00C12816"/>
    <w:p w14:paraId="03CC0896" w14:textId="77777777" w:rsidR="00C12816" w:rsidRDefault="00C12816" w:rsidP="00C12816"/>
    <w:p w14:paraId="45720E40" w14:textId="77777777" w:rsidR="00C12816" w:rsidRPr="00C12816" w:rsidRDefault="00C12816" w:rsidP="00C12816">
      <w:pPr>
        <w:pStyle w:val="Heading2"/>
      </w:pPr>
      <w:bookmarkStart w:id="1" w:name="_Toc56593211"/>
      <w:r>
        <w:t>Introduction</w:t>
      </w:r>
      <w:bookmarkEnd w:id="1"/>
    </w:p>
    <w:p w14:paraId="43998A16" w14:textId="6B1A544F" w:rsidR="000A4C18" w:rsidRDefault="000A4C18" w:rsidP="00C12816">
      <w:pPr>
        <w:spacing w:line="360" w:lineRule="auto"/>
        <w:rPr>
          <w:b/>
        </w:rPr>
      </w:pPr>
      <w:r w:rsidRPr="001260DB">
        <w:t xml:space="preserve">The following information provides data on </w:t>
      </w:r>
      <w:r>
        <w:t>academic</w:t>
      </w:r>
      <w:r w:rsidRPr="001260DB">
        <w:t xml:space="preserve"> staff promotio</w:t>
      </w:r>
      <w:r w:rsidR="003A3389">
        <w:t>ns during the academic year 20</w:t>
      </w:r>
      <w:r w:rsidR="006928EB">
        <w:t>20</w:t>
      </w:r>
      <w:r w:rsidR="003A3389">
        <w:t>-</w:t>
      </w:r>
      <w:r w:rsidR="001A2D00">
        <w:t>2</w:t>
      </w:r>
      <w:r w:rsidR="006928EB">
        <w:t>1</w:t>
      </w:r>
      <w:r w:rsidRPr="001260DB">
        <w:t>. The</w:t>
      </w:r>
      <w:r w:rsidR="003A3389">
        <w:t>se data are</w:t>
      </w:r>
      <w:r w:rsidRPr="001260DB">
        <w:t xml:space="preserve"> provided by the following</w:t>
      </w:r>
      <w:r>
        <w:t xml:space="preserve"> protected characteristics: age</w:t>
      </w:r>
      <w:r w:rsidRPr="001260DB">
        <w:t xml:space="preserve">; disability; ethnicity; gender; </w:t>
      </w:r>
      <w:r w:rsidR="00170481">
        <w:t>religion</w:t>
      </w:r>
      <w:r w:rsidR="009C28BD">
        <w:t xml:space="preserve"> or belief</w:t>
      </w:r>
      <w:r w:rsidR="00170481">
        <w:t xml:space="preserve">; </w:t>
      </w:r>
      <w:r w:rsidRPr="001260DB">
        <w:t>and sexual orientation.</w:t>
      </w:r>
    </w:p>
    <w:p w14:paraId="745349DA" w14:textId="77777777" w:rsidR="000A4C18" w:rsidRPr="003C30D4" w:rsidRDefault="000A4C18" w:rsidP="00C12816">
      <w:pPr>
        <w:spacing w:line="360" w:lineRule="auto"/>
        <w:rPr>
          <w:b/>
        </w:rPr>
      </w:pPr>
      <w:r w:rsidRPr="003C30D4">
        <w:t xml:space="preserve">Please note that data for </w:t>
      </w:r>
      <w:r w:rsidR="00170481">
        <w:t>academic</w:t>
      </w:r>
      <w:r>
        <w:t xml:space="preserve"> </w:t>
      </w:r>
      <w:r w:rsidRPr="003C30D4">
        <w:t>staff apply</w:t>
      </w:r>
      <w:r w:rsidR="003A3389">
        <w:t>ing for promotion to grade 10 are</w:t>
      </w:r>
      <w:r w:rsidRPr="003C30D4">
        <w:t xml:space="preserve"> presented separately due to the different promotions procedure for this grade</w:t>
      </w:r>
      <w:r w:rsidR="00C5418D">
        <w:t>, and presented only by gender due to small numbers</w:t>
      </w:r>
      <w:r w:rsidRPr="003C30D4">
        <w:t xml:space="preserve">. </w:t>
      </w:r>
    </w:p>
    <w:p w14:paraId="3A45248F" w14:textId="77777777" w:rsidR="000A4C18" w:rsidRPr="003C30D4" w:rsidRDefault="000A4C18" w:rsidP="00C12816">
      <w:pPr>
        <w:spacing w:line="360" w:lineRule="auto"/>
      </w:pPr>
    </w:p>
    <w:p w14:paraId="09985F3D" w14:textId="77777777" w:rsidR="00C12816" w:rsidRDefault="003A3389" w:rsidP="00C12816">
      <w:pPr>
        <w:spacing w:line="360" w:lineRule="auto"/>
        <w:rPr>
          <w:b/>
          <w:i/>
        </w:rPr>
      </w:pPr>
      <w:r>
        <w:rPr>
          <w:b/>
          <w:i/>
        </w:rPr>
        <w:t>Data are</w:t>
      </w:r>
      <w:r w:rsidR="000A4C18" w:rsidRPr="001260DB">
        <w:rPr>
          <w:b/>
          <w:i/>
        </w:rPr>
        <w:t xml:space="preserve"> rounded to the nearest whole percent</w:t>
      </w:r>
      <w:r w:rsidR="000A4C18" w:rsidRPr="001260DB">
        <w:rPr>
          <w:b/>
          <w:color w:val="000000"/>
        </w:rPr>
        <w:t xml:space="preserve"> </w:t>
      </w:r>
      <w:r w:rsidR="000A4C18" w:rsidRPr="001260DB">
        <w:rPr>
          <w:b/>
          <w:i/>
          <w:color w:val="000000"/>
        </w:rPr>
        <w:t>and therefore may not always total 100%</w:t>
      </w:r>
      <w:r w:rsidR="000A4C18" w:rsidRPr="001260DB">
        <w:rPr>
          <w:b/>
          <w:i/>
        </w:rPr>
        <w:t>.</w:t>
      </w:r>
    </w:p>
    <w:p w14:paraId="358A601B" w14:textId="77777777" w:rsidR="00C12816" w:rsidRPr="00CC7282" w:rsidRDefault="00C12816" w:rsidP="00C12816">
      <w:pPr>
        <w:spacing w:line="360" w:lineRule="auto"/>
        <w:rPr>
          <w:b/>
        </w:rPr>
      </w:pPr>
    </w:p>
    <w:p w14:paraId="1895C773" w14:textId="77777777" w:rsidR="00E2089C" w:rsidRPr="00170481" w:rsidRDefault="00843D39" w:rsidP="00C12816">
      <w:pPr>
        <w:pStyle w:val="Heading2"/>
      </w:pPr>
      <w:bookmarkStart w:id="2" w:name="_Toc56593212"/>
      <w:r w:rsidRPr="00170481">
        <w:lastRenderedPageBreak/>
        <w:t>Up to &amp; including</w:t>
      </w:r>
      <w:r w:rsidR="00E2089C" w:rsidRPr="00170481">
        <w:t xml:space="preserve"> </w:t>
      </w:r>
      <w:r w:rsidR="00DA0383">
        <w:t>G</w:t>
      </w:r>
      <w:r w:rsidRPr="00170481">
        <w:t xml:space="preserve">rade </w:t>
      </w:r>
      <w:r w:rsidR="00E2089C" w:rsidRPr="00170481">
        <w:t>9</w:t>
      </w:r>
      <w:bookmarkEnd w:id="2"/>
    </w:p>
    <w:p w14:paraId="45113FDF" w14:textId="77777777" w:rsidR="00E2089C" w:rsidRPr="00511B40" w:rsidRDefault="00E2089C" w:rsidP="00C12816"/>
    <w:p w14:paraId="41CC3796" w14:textId="502520E5" w:rsidR="00E2089C" w:rsidRPr="005E766F" w:rsidRDefault="001F3CC7" w:rsidP="00C12816">
      <w:pPr>
        <w:spacing w:line="360" w:lineRule="auto"/>
        <w:rPr>
          <w:szCs w:val="24"/>
        </w:rPr>
      </w:pPr>
      <w:r w:rsidRPr="005E766F">
        <w:rPr>
          <w:szCs w:val="24"/>
        </w:rPr>
        <w:t xml:space="preserve">A total of </w:t>
      </w:r>
      <w:r w:rsidR="00AF4E71">
        <w:rPr>
          <w:szCs w:val="24"/>
        </w:rPr>
        <w:t>139</w:t>
      </w:r>
      <w:r w:rsidR="00E2089C" w:rsidRPr="005E766F">
        <w:rPr>
          <w:szCs w:val="24"/>
        </w:rPr>
        <w:t xml:space="preserve"> applications for promotion </w:t>
      </w:r>
      <w:r w:rsidR="00170481" w:rsidRPr="005E766F">
        <w:rPr>
          <w:szCs w:val="24"/>
        </w:rPr>
        <w:t xml:space="preserve">up to and including grade 9 </w:t>
      </w:r>
      <w:r w:rsidR="00E2089C" w:rsidRPr="005E766F">
        <w:rPr>
          <w:szCs w:val="24"/>
        </w:rPr>
        <w:t>were</w:t>
      </w:r>
      <w:r w:rsidR="00170481" w:rsidRPr="005E766F">
        <w:rPr>
          <w:szCs w:val="24"/>
        </w:rPr>
        <w:t xml:space="preserve"> made by academic staff during 20</w:t>
      </w:r>
      <w:r w:rsidR="006928EB">
        <w:rPr>
          <w:szCs w:val="24"/>
        </w:rPr>
        <w:t>20</w:t>
      </w:r>
      <w:r w:rsidR="0082058C">
        <w:rPr>
          <w:szCs w:val="24"/>
        </w:rPr>
        <w:t>-</w:t>
      </w:r>
      <w:r w:rsidR="00295F8E">
        <w:rPr>
          <w:szCs w:val="24"/>
        </w:rPr>
        <w:t>2</w:t>
      </w:r>
      <w:r w:rsidR="006928EB">
        <w:rPr>
          <w:szCs w:val="24"/>
        </w:rPr>
        <w:t>1</w:t>
      </w:r>
      <w:r w:rsidR="00170481" w:rsidRPr="005E766F">
        <w:rPr>
          <w:szCs w:val="24"/>
        </w:rPr>
        <w:t xml:space="preserve">. </w:t>
      </w:r>
      <w:r w:rsidR="007B2BD4" w:rsidRPr="005E766F">
        <w:rPr>
          <w:szCs w:val="24"/>
        </w:rPr>
        <w:t xml:space="preserve">Of </w:t>
      </w:r>
      <w:r w:rsidR="003E1F7A">
        <w:rPr>
          <w:szCs w:val="24"/>
        </w:rPr>
        <w:t>these</w:t>
      </w:r>
      <w:r w:rsidR="000F6254">
        <w:rPr>
          <w:szCs w:val="24"/>
        </w:rPr>
        <w:t>,</w:t>
      </w:r>
      <w:r w:rsidR="003E1F7A">
        <w:rPr>
          <w:szCs w:val="24"/>
        </w:rPr>
        <w:t xml:space="preserve"> 1</w:t>
      </w:r>
      <w:r w:rsidR="00295F8E">
        <w:rPr>
          <w:szCs w:val="24"/>
        </w:rPr>
        <w:t>3</w:t>
      </w:r>
      <w:r w:rsidR="00AF4E71">
        <w:rPr>
          <w:szCs w:val="24"/>
        </w:rPr>
        <w:t>0</w:t>
      </w:r>
      <w:r w:rsidR="007B2BD4" w:rsidRPr="005E766F">
        <w:rPr>
          <w:szCs w:val="24"/>
        </w:rPr>
        <w:t xml:space="preserve"> (9</w:t>
      </w:r>
      <w:r w:rsidR="00295F8E">
        <w:rPr>
          <w:szCs w:val="24"/>
        </w:rPr>
        <w:t>4</w:t>
      </w:r>
      <w:r w:rsidR="007B2BD4" w:rsidRPr="005E766F">
        <w:rPr>
          <w:szCs w:val="24"/>
        </w:rPr>
        <w:t xml:space="preserve">%) were </w:t>
      </w:r>
      <w:r w:rsidR="00182BEC">
        <w:rPr>
          <w:szCs w:val="24"/>
        </w:rPr>
        <w:t xml:space="preserve">successful. This compares to </w:t>
      </w:r>
      <w:r w:rsidR="006928EB">
        <w:rPr>
          <w:szCs w:val="24"/>
        </w:rPr>
        <w:t xml:space="preserve">145 applications and </w:t>
      </w:r>
      <w:r w:rsidR="00182BEC">
        <w:rPr>
          <w:szCs w:val="24"/>
        </w:rPr>
        <w:t>9</w:t>
      </w:r>
      <w:r w:rsidR="006928EB">
        <w:rPr>
          <w:szCs w:val="24"/>
        </w:rPr>
        <w:t>4</w:t>
      </w:r>
      <w:r w:rsidR="007B2BD4" w:rsidRPr="005E766F">
        <w:rPr>
          <w:szCs w:val="24"/>
        </w:rPr>
        <w:t>% success</w:t>
      </w:r>
      <w:r w:rsidR="00653460">
        <w:rPr>
          <w:szCs w:val="24"/>
        </w:rPr>
        <w:t xml:space="preserve"> in 201</w:t>
      </w:r>
      <w:r w:rsidR="006928EB">
        <w:rPr>
          <w:szCs w:val="24"/>
        </w:rPr>
        <w:t>9</w:t>
      </w:r>
      <w:r w:rsidR="00653460">
        <w:rPr>
          <w:szCs w:val="24"/>
        </w:rPr>
        <w:t>-</w:t>
      </w:r>
      <w:r w:rsidR="006928EB">
        <w:rPr>
          <w:szCs w:val="24"/>
        </w:rPr>
        <w:t>20</w:t>
      </w:r>
      <w:r w:rsidR="005E766F" w:rsidRPr="005E766F">
        <w:rPr>
          <w:szCs w:val="24"/>
        </w:rPr>
        <w:t>.</w:t>
      </w:r>
      <w:r w:rsidR="007B2BD4" w:rsidRPr="005E766F">
        <w:rPr>
          <w:szCs w:val="24"/>
        </w:rPr>
        <w:t xml:space="preserve"> </w:t>
      </w:r>
    </w:p>
    <w:p w14:paraId="527D4CB5" w14:textId="77777777" w:rsidR="00E2089C" w:rsidRPr="00511B40" w:rsidRDefault="00E2089C" w:rsidP="00C12816">
      <w:pPr>
        <w:spacing w:line="360" w:lineRule="auto"/>
      </w:pPr>
    </w:p>
    <w:p w14:paraId="2BF4A614" w14:textId="77777777" w:rsidR="001F3CC7" w:rsidRPr="005E766F" w:rsidRDefault="00DE7B58" w:rsidP="00C12816">
      <w:pPr>
        <w:pStyle w:val="Heading3"/>
      </w:pPr>
      <w:bookmarkStart w:id="3" w:name="_Toc56593213"/>
      <w:r w:rsidRPr="005E766F">
        <w:t>Age</w:t>
      </w:r>
      <w:bookmarkEnd w:id="3"/>
    </w:p>
    <w:p w14:paraId="63941D70" w14:textId="77777777" w:rsidR="005E766F" w:rsidRDefault="005E766F" w:rsidP="00C12816"/>
    <w:tbl>
      <w:tblPr>
        <w:tblW w:w="4000" w:type="pct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Academic Staff Promotions by Age (Up to &amp; including Grade 9)"/>
        <w:tblDescription w:val="Table showing the number and percentage of successful and unsuccessful academic staff promotions by age in 2018-19. Categories include under 20, 20-29, 30-39, 40-49, 50-59 and 60+."/>
      </w:tblPr>
      <w:tblGrid>
        <w:gridCol w:w="1805"/>
        <w:gridCol w:w="1803"/>
        <w:gridCol w:w="1803"/>
        <w:gridCol w:w="1802"/>
      </w:tblGrid>
      <w:tr w:rsidR="00AF4E71" w:rsidRPr="005E766F" w14:paraId="14A2F5F6" w14:textId="77777777" w:rsidTr="00AF4E71">
        <w:trPr>
          <w:trHeight w:val="935"/>
        </w:trPr>
        <w:tc>
          <w:tcPr>
            <w:tcW w:w="1251" w:type="pct"/>
            <w:shd w:val="clear" w:color="000000" w:fill="FFFFFF"/>
            <w:noWrap/>
            <w:vAlign w:val="center"/>
            <w:hideMark/>
          </w:tcPr>
          <w:p w14:paraId="443A392A" w14:textId="77777777" w:rsidR="00AF4E71" w:rsidRPr="005E766F" w:rsidRDefault="00AF4E71" w:rsidP="00C12816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Age (years)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14:paraId="08AFD42E" w14:textId="77777777" w:rsidR="00AF4E71" w:rsidRPr="005E766F" w:rsidRDefault="00AF4E71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E766F">
              <w:rPr>
                <w:rFonts w:eastAsia="Times New Roman" w:cs="Arial"/>
                <w:b/>
                <w:bCs/>
                <w:color w:val="000000"/>
                <w:lang w:eastAsia="en-GB"/>
              </w:rPr>
              <w:t>Number of applications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14:paraId="5C6BACF8" w14:textId="77777777" w:rsidR="00AF4E71" w:rsidRPr="005E766F" w:rsidRDefault="00AF4E71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E766F">
              <w:rPr>
                <w:rFonts w:eastAsia="Times New Roman" w:cs="Arial"/>
                <w:b/>
                <w:bCs/>
                <w:color w:val="000000"/>
                <w:lang w:eastAsia="en-GB"/>
              </w:rPr>
              <w:t>Successful</w:t>
            </w:r>
          </w:p>
        </w:tc>
        <w:tc>
          <w:tcPr>
            <w:tcW w:w="1249" w:type="pct"/>
            <w:shd w:val="clear" w:color="000000" w:fill="FFFFFF"/>
            <w:vAlign w:val="center"/>
            <w:hideMark/>
          </w:tcPr>
          <w:p w14:paraId="4E0E4612" w14:textId="77777777" w:rsidR="00AF4E71" w:rsidRPr="005E766F" w:rsidRDefault="00AF4E71" w:rsidP="0092060F">
            <w:pPr>
              <w:spacing w:line="36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5E766F">
              <w:rPr>
                <w:rFonts w:eastAsia="Times New Roman" w:cs="Arial"/>
                <w:b/>
                <w:bCs/>
                <w:color w:val="000000"/>
                <w:lang w:eastAsia="en-GB"/>
              </w:rPr>
              <w:t>% Successful</w:t>
            </w:r>
          </w:p>
        </w:tc>
      </w:tr>
      <w:tr w:rsidR="00AF4E71" w:rsidRPr="005E766F" w14:paraId="1CA7DF12" w14:textId="77777777" w:rsidTr="00AF4E71">
        <w:trPr>
          <w:trHeight w:val="315"/>
        </w:trPr>
        <w:tc>
          <w:tcPr>
            <w:tcW w:w="1251" w:type="pct"/>
            <w:shd w:val="clear" w:color="000000" w:fill="FFFFFF"/>
            <w:noWrap/>
            <w:vAlign w:val="center"/>
            <w:hideMark/>
          </w:tcPr>
          <w:p w14:paraId="4375CBE6" w14:textId="77777777" w:rsidR="00AF4E71" w:rsidRPr="001B2383" w:rsidRDefault="00AF4E71" w:rsidP="00AF4E71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20 - 29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14:paraId="191C1D5C" w14:textId="5229108F" w:rsidR="00AF4E71" w:rsidRPr="00DE2167" w:rsidRDefault="00AF4E71" w:rsidP="00AF4E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14:paraId="669F0DFD" w14:textId="35AFADE9" w:rsidR="00AF4E71" w:rsidRPr="00DE2167" w:rsidRDefault="00AF4E71" w:rsidP="00AF4E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249" w:type="pct"/>
            <w:shd w:val="clear" w:color="000000" w:fill="FFFFFF"/>
            <w:vAlign w:val="center"/>
            <w:hideMark/>
          </w:tcPr>
          <w:p w14:paraId="3A59A8A7" w14:textId="246CCD62" w:rsidR="00AF4E71" w:rsidRPr="00DE2167" w:rsidRDefault="00A757A1" w:rsidP="00A757A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100</w:t>
            </w:r>
            <w:r w:rsidR="00AF4E71" w:rsidRPr="00DE2167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AF4E71" w:rsidRPr="005E766F" w14:paraId="37C219AF" w14:textId="77777777" w:rsidTr="00AF4E71">
        <w:trPr>
          <w:trHeight w:val="315"/>
        </w:trPr>
        <w:tc>
          <w:tcPr>
            <w:tcW w:w="1251" w:type="pct"/>
            <w:shd w:val="clear" w:color="000000" w:fill="FFFFFF"/>
            <w:noWrap/>
            <w:vAlign w:val="center"/>
            <w:hideMark/>
          </w:tcPr>
          <w:p w14:paraId="6F256531" w14:textId="77777777" w:rsidR="00AF4E71" w:rsidRPr="001B2383" w:rsidRDefault="00AF4E71" w:rsidP="00AF4E71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30 - 39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14:paraId="08A7F6B9" w14:textId="0C6D17CB" w:rsidR="00AF4E71" w:rsidRPr="00DE2167" w:rsidRDefault="00AF4E71" w:rsidP="00AF4E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56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14:paraId="2EB0DCAB" w14:textId="2FAF92FF" w:rsidR="00AF4E71" w:rsidRPr="00DE2167" w:rsidRDefault="00AF4E71" w:rsidP="00AF4E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5</w:t>
            </w:r>
            <w:r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249" w:type="pct"/>
            <w:shd w:val="clear" w:color="000000" w:fill="FFFFFF"/>
            <w:vAlign w:val="center"/>
            <w:hideMark/>
          </w:tcPr>
          <w:p w14:paraId="09DB290A" w14:textId="1D64AC94" w:rsidR="00AF4E71" w:rsidRPr="00DE2167" w:rsidRDefault="00AF4E71" w:rsidP="00AF4E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</w:t>
            </w:r>
            <w:r>
              <w:rPr>
                <w:rFonts w:cs="Arial"/>
                <w:color w:val="000000"/>
                <w:szCs w:val="24"/>
              </w:rPr>
              <w:t>5</w:t>
            </w:r>
            <w:r w:rsidRPr="00DE2167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AF4E71" w:rsidRPr="005E766F" w14:paraId="2EE4501E" w14:textId="77777777" w:rsidTr="00AF4E71">
        <w:trPr>
          <w:trHeight w:val="315"/>
        </w:trPr>
        <w:tc>
          <w:tcPr>
            <w:tcW w:w="1251" w:type="pct"/>
            <w:shd w:val="clear" w:color="000000" w:fill="FFFFFF"/>
            <w:noWrap/>
            <w:vAlign w:val="center"/>
            <w:hideMark/>
          </w:tcPr>
          <w:p w14:paraId="2C601921" w14:textId="77777777" w:rsidR="00AF4E71" w:rsidRPr="001B2383" w:rsidRDefault="00AF4E71" w:rsidP="00AF4E71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40 - 49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14:paraId="7DB0D68F" w14:textId="5036720E" w:rsidR="00AF4E71" w:rsidRPr="00DE2167" w:rsidRDefault="00AF4E71" w:rsidP="00AF4E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5</w:t>
            </w:r>
            <w:r>
              <w:rPr>
                <w:rFonts w:cs="Arial"/>
                <w:color w:val="000000"/>
                <w:szCs w:val="24"/>
              </w:rPr>
              <w:t>7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14:paraId="04242869" w14:textId="7DA701D2" w:rsidR="00AF4E71" w:rsidRPr="00DE2167" w:rsidRDefault="00AF4E71" w:rsidP="00AF4E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54</w:t>
            </w:r>
          </w:p>
        </w:tc>
        <w:tc>
          <w:tcPr>
            <w:tcW w:w="1249" w:type="pct"/>
            <w:shd w:val="clear" w:color="000000" w:fill="FFFFFF"/>
            <w:vAlign w:val="center"/>
            <w:hideMark/>
          </w:tcPr>
          <w:p w14:paraId="752F33D4" w14:textId="77777777" w:rsidR="00AF4E71" w:rsidRPr="00DE2167" w:rsidRDefault="00AF4E71" w:rsidP="00AF4E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95%</w:t>
            </w:r>
          </w:p>
        </w:tc>
      </w:tr>
      <w:tr w:rsidR="00AF4E71" w:rsidRPr="005E766F" w14:paraId="3FC144A8" w14:textId="77777777" w:rsidTr="00AF4E71">
        <w:trPr>
          <w:trHeight w:val="315"/>
        </w:trPr>
        <w:tc>
          <w:tcPr>
            <w:tcW w:w="1251" w:type="pct"/>
            <w:shd w:val="clear" w:color="000000" w:fill="FFFFFF"/>
            <w:noWrap/>
            <w:vAlign w:val="center"/>
            <w:hideMark/>
          </w:tcPr>
          <w:p w14:paraId="07E24B5F" w14:textId="77777777" w:rsidR="00AF4E71" w:rsidRPr="001B2383" w:rsidRDefault="00AF4E71" w:rsidP="00AF4E71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50 - 59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14:paraId="0F721F08" w14:textId="53C25C79" w:rsidR="00AF4E71" w:rsidRPr="00DE2167" w:rsidRDefault="00AF4E71" w:rsidP="00AF4E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250" w:type="pct"/>
            <w:shd w:val="clear" w:color="000000" w:fill="FFFFFF"/>
            <w:noWrap/>
            <w:vAlign w:val="center"/>
          </w:tcPr>
          <w:p w14:paraId="281D2D21" w14:textId="0AFDD68B" w:rsidR="00AF4E71" w:rsidRPr="00DE2167" w:rsidRDefault="00AF4E71" w:rsidP="00AF4E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1249" w:type="pct"/>
            <w:shd w:val="clear" w:color="000000" w:fill="FFFFFF"/>
            <w:vAlign w:val="center"/>
            <w:hideMark/>
          </w:tcPr>
          <w:p w14:paraId="3026135B" w14:textId="2DF2790C" w:rsidR="00AF4E71" w:rsidRPr="00DE2167" w:rsidRDefault="00A757A1" w:rsidP="00AF4E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95</w:t>
            </w:r>
            <w:r w:rsidR="00AF4E71" w:rsidRPr="00DE2167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AF4E71" w:rsidRPr="005E766F" w14:paraId="0E8035C8" w14:textId="77777777" w:rsidTr="00AF4E71">
        <w:trPr>
          <w:trHeight w:val="315"/>
        </w:trPr>
        <w:tc>
          <w:tcPr>
            <w:tcW w:w="1251" w:type="pct"/>
            <w:shd w:val="clear" w:color="000000" w:fill="FFFFFF"/>
            <w:noWrap/>
            <w:vAlign w:val="center"/>
            <w:hideMark/>
          </w:tcPr>
          <w:p w14:paraId="7473AD28" w14:textId="77777777" w:rsidR="00AF4E71" w:rsidRPr="001B2383" w:rsidRDefault="00AF4E71" w:rsidP="00AF4E71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60 +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14:paraId="14C6C65A" w14:textId="7837009C" w:rsidR="00AF4E71" w:rsidRPr="00DE2167" w:rsidRDefault="00AF4E71" w:rsidP="00AF4E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250" w:type="pct"/>
            <w:shd w:val="clear" w:color="000000" w:fill="FFFFFF"/>
            <w:noWrap/>
            <w:vAlign w:val="center"/>
            <w:hideMark/>
          </w:tcPr>
          <w:p w14:paraId="28B4370D" w14:textId="249DDD25" w:rsidR="00AF4E71" w:rsidRPr="00DE2167" w:rsidRDefault="00AF4E71" w:rsidP="00AF4E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249" w:type="pct"/>
            <w:shd w:val="clear" w:color="000000" w:fill="FFFFFF"/>
            <w:vAlign w:val="center"/>
            <w:hideMark/>
          </w:tcPr>
          <w:p w14:paraId="27AC0D1F" w14:textId="5DB59B81" w:rsidR="00AF4E71" w:rsidRPr="00DE2167" w:rsidRDefault="00A757A1" w:rsidP="00AF4E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6</w:t>
            </w:r>
            <w:r w:rsidR="00AF4E71" w:rsidRPr="00DE2167">
              <w:rPr>
                <w:rFonts w:cs="Arial"/>
                <w:color w:val="000000"/>
                <w:szCs w:val="24"/>
              </w:rPr>
              <w:t>0%</w:t>
            </w:r>
          </w:p>
        </w:tc>
      </w:tr>
    </w:tbl>
    <w:p w14:paraId="679BF320" w14:textId="77777777" w:rsidR="005E766F" w:rsidRDefault="005E766F" w:rsidP="00C12816"/>
    <w:p w14:paraId="64CAF8AD" w14:textId="4F4F3D60" w:rsidR="00095447" w:rsidRDefault="005E766F" w:rsidP="00C12816">
      <w:pPr>
        <w:spacing w:line="360" w:lineRule="auto"/>
        <w:rPr>
          <w:rFonts w:cs="Arial"/>
        </w:rPr>
      </w:pPr>
      <w:r w:rsidRPr="00C12816">
        <w:rPr>
          <w:rFonts w:cs="Arial"/>
          <w:b/>
          <w:szCs w:val="24"/>
        </w:rPr>
        <w:t>Commentary</w:t>
      </w:r>
      <w:r>
        <w:rPr>
          <w:rFonts w:cs="Arial"/>
          <w:i/>
          <w:szCs w:val="24"/>
        </w:rPr>
        <w:br/>
      </w:r>
      <w:r w:rsidRPr="00475663">
        <w:rPr>
          <w:rFonts w:cs="Arial"/>
          <w:i/>
          <w:szCs w:val="24"/>
        </w:rPr>
        <w:br/>
      </w:r>
      <w:r w:rsidR="007E7076">
        <w:rPr>
          <w:rFonts w:cs="Arial"/>
          <w:szCs w:val="24"/>
        </w:rPr>
        <w:t>During the academic year 201</w:t>
      </w:r>
      <w:r w:rsidR="008916FB">
        <w:rPr>
          <w:rFonts w:cs="Arial"/>
          <w:szCs w:val="24"/>
        </w:rPr>
        <w:t>9</w:t>
      </w:r>
      <w:r w:rsidR="007E7076">
        <w:rPr>
          <w:rFonts w:cs="Arial"/>
          <w:szCs w:val="24"/>
        </w:rPr>
        <w:t>-</w:t>
      </w:r>
      <w:r w:rsidR="008916FB">
        <w:rPr>
          <w:rFonts w:cs="Arial"/>
          <w:szCs w:val="24"/>
        </w:rPr>
        <w:t>20</w:t>
      </w:r>
      <w:r w:rsidRPr="00475663">
        <w:rPr>
          <w:rFonts w:cs="Arial"/>
          <w:szCs w:val="24"/>
        </w:rPr>
        <w:t xml:space="preserve">, there was a 100% success rate for academic staff who applied for promotion in the </w:t>
      </w:r>
      <w:r w:rsidR="000378B6">
        <w:rPr>
          <w:rFonts w:cs="Arial"/>
          <w:szCs w:val="24"/>
        </w:rPr>
        <w:t>under 20</w:t>
      </w:r>
      <w:r w:rsidRPr="00475663">
        <w:rPr>
          <w:rFonts w:cs="Arial"/>
          <w:szCs w:val="24"/>
        </w:rPr>
        <w:t xml:space="preserve"> and </w:t>
      </w:r>
      <w:r w:rsidR="00A757A1">
        <w:rPr>
          <w:rFonts w:cs="Arial"/>
          <w:szCs w:val="24"/>
        </w:rPr>
        <w:t xml:space="preserve">95% success rates for the next three age categories. For staff in the </w:t>
      </w:r>
      <w:r w:rsidRPr="00475663">
        <w:rPr>
          <w:rFonts w:cs="Arial"/>
          <w:szCs w:val="24"/>
        </w:rPr>
        <w:t>60+ age categor</w:t>
      </w:r>
      <w:r w:rsidR="00A757A1">
        <w:rPr>
          <w:rFonts w:cs="Arial"/>
          <w:szCs w:val="24"/>
        </w:rPr>
        <w:t xml:space="preserve">y, the number of applications was </w:t>
      </w:r>
      <w:proofErr w:type="gramStart"/>
      <w:r w:rsidR="00A757A1">
        <w:rPr>
          <w:rFonts w:cs="Arial"/>
          <w:szCs w:val="24"/>
        </w:rPr>
        <w:t>small</w:t>
      </w:r>
      <w:proofErr w:type="gramEnd"/>
      <w:r w:rsidR="00A757A1">
        <w:rPr>
          <w:rFonts w:cs="Arial"/>
          <w:szCs w:val="24"/>
        </w:rPr>
        <w:t xml:space="preserve"> and the success rate was 60% (3 from 5)</w:t>
      </w:r>
      <w:r w:rsidRPr="00475663">
        <w:rPr>
          <w:rFonts w:cs="Arial"/>
          <w:szCs w:val="24"/>
        </w:rPr>
        <w:t xml:space="preserve">. </w:t>
      </w:r>
    </w:p>
    <w:p w14:paraId="59B2EDD2" w14:textId="77777777" w:rsidR="00C12816" w:rsidRPr="00511B40" w:rsidRDefault="00C12816" w:rsidP="00C12816">
      <w:pPr>
        <w:spacing w:line="360" w:lineRule="auto"/>
        <w:rPr>
          <w:rFonts w:cs="Arial"/>
        </w:rPr>
      </w:pPr>
    </w:p>
    <w:p w14:paraId="405A7D7C" w14:textId="77777777" w:rsidR="00E34D95" w:rsidRDefault="00E34D95">
      <w:pPr>
        <w:spacing w:after="200"/>
        <w:rPr>
          <w:rFonts w:eastAsiaTheme="majorEastAsia" w:cstheme="majorBidi"/>
          <w:b/>
          <w:sz w:val="28"/>
          <w:szCs w:val="24"/>
        </w:rPr>
      </w:pPr>
      <w:bookmarkStart w:id="4" w:name="_Toc56593214"/>
      <w:r>
        <w:br w:type="page"/>
      </w:r>
    </w:p>
    <w:p w14:paraId="6A8CE2F9" w14:textId="77777777" w:rsidR="00095447" w:rsidRDefault="0067404F" w:rsidP="00C12816">
      <w:pPr>
        <w:pStyle w:val="Heading3"/>
      </w:pPr>
      <w:r w:rsidRPr="001B2383">
        <w:lastRenderedPageBreak/>
        <w:t>Disability</w:t>
      </w:r>
      <w:r w:rsidRPr="001B2383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2"/>
      </w:r>
      <w:bookmarkEnd w:id="4"/>
    </w:p>
    <w:tbl>
      <w:tblPr>
        <w:tblW w:w="4000" w:type="pct"/>
        <w:tblInd w:w="903" w:type="dxa"/>
        <w:tblLayout w:type="fixed"/>
        <w:tblLook w:val="04A0" w:firstRow="1" w:lastRow="0" w:firstColumn="1" w:lastColumn="0" w:noHBand="0" w:noVBand="1"/>
        <w:tblCaption w:val="Academic Staff Promotions by Disability (Up to &amp; including Grade 9)"/>
        <w:tblDescription w:val="Table showing the number and precentage of successful and unsuccessful academic staff promotions by disability in 2018-19. Categories include disabled, no know disability, prefer not to answer and unknown."/>
      </w:tblPr>
      <w:tblGrid>
        <w:gridCol w:w="1803"/>
        <w:gridCol w:w="1801"/>
        <w:gridCol w:w="1801"/>
        <w:gridCol w:w="1800"/>
      </w:tblGrid>
      <w:tr w:rsidR="00A82751" w:rsidRPr="001B2383" w14:paraId="37ED8425" w14:textId="77777777" w:rsidTr="00A82751">
        <w:trPr>
          <w:trHeight w:val="615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C5DFF" w14:textId="77777777" w:rsidR="00A82751" w:rsidRPr="001B2383" w:rsidRDefault="00A82751" w:rsidP="00C12816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bCs/>
                <w:color w:val="000000"/>
                <w:lang w:eastAsia="en-GB"/>
              </w:rPr>
              <w:t>Disability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EDCEC" w14:textId="77777777" w:rsidR="00A82751" w:rsidRPr="001B2383" w:rsidRDefault="00A82751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bCs/>
                <w:color w:val="000000"/>
                <w:lang w:eastAsia="en-GB"/>
              </w:rPr>
              <w:t>Number of applications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E290A" w14:textId="77777777" w:rsidR="00A82751" w:rsidRPr="001B2383" w:rsidRDefault="00A82751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bCs/>
                <w:color w:val="000000"/>
                <w:lang w:eastAsia="en-GB"/>
              </w:rPr>
              <w:t>Successful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33463" w14:textId="77777777" w:rsidR="00A82751" w:rsidRPr="001B2383" w:rsidRDefault="00A82751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bCs/>
                <w:color w:val="000000"/>
                <w:lang w:eastAsia="en-GB"/>
              </w:rPr>
              <w:t>% Successful</w:t>
            </w:r>
          </w:p>
        </w:tc>
      </w:tr>
      <w:tr w:rsidR="00A82751" w:rsidRPr="001B2383" w14:paraId="2032F715" w14:textId="77777777" w:rsidTr="00A82751">
        <w:trPr>
          <w:trHeight w:val="31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3528A" w14:textId="77777777" w:rsidR="00A82751" w:rsidRPr="001B2383" w:rsidRDefault="00A82751" w:rsidP="00F62C04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No known disability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23C77" w14:textId="2B9C5ACB" w:rsidR="00A82751" w:rsidRPr="00DE2167" w:rsidRDefault="00A82751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6943F" w14:textId="771E5CFE" w:rsidR="00A82751" w:rsidRPr="00DE2167" w:rsidRDefault="00A82751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01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07345" w14:textId="093B4249" w:rsidR="00A82751" w:rsidRPr="00DE2167" w:rsidRDefault="00A82751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</w:t>
            </w:r>
            <w:r>
              <w:rPr>
                <w:rFonts w:cs="Arial"/>
                <w:color w:val="000000"/>
                <w:szCs w:val="24"/>
              </w:rPr>
              <w:t>4</w:t>
            </w:r>
            <w:r w:rsidRPr="00DE2167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A82751" w:rsidRPr="001B2383" w14:paraId="0A23E619" w14:textId="77777777" w:rsidTr="00A82751">
        <w:trPr>
          <w:trHeight w:val="31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DB260" w14:textId="77777777" w:rsidR="00A82751" w:rsidRPr="001B2383" w:rsidRDefault="00A82751" w:rsidP="00F62C04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Disabled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0ED3B" w14:textId="7ABCBC85" w:rsidR="00A82751" w:rsidRPr="00DE2167" w:rsidRDefault="00A82751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9E0E6" w14:textId="203FB871" w:rsidR="00A82751" w:rsidRPr="00DE2167" w:rsidRDefault="00A82751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7D6AF" w14:textId="77777777" w:rsidR="00A82751" w:rsidRPr="00DE2167" w:rsidRDefault="00A82751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A82751" w:rsidRPr="001B2383" w14:paraId="39E9C63A" w14:textId="77777777" w:rsidTr="00A82751">
        <w:trPr>
          <w:trHeight w:val="31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EFD7D" w14:textId="77777777" w:rsidR="00A82751" w:rsidRPr="001B2383" w:rsidRDefault="00A82751" w:rsidP="00F62C04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F64EC" w14:textId="76CF91DB" w:rsidR="00A82751" w:rsidRPr="00DE2167" w:rsidRDefault="00A82751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F9AA3" w14:textId="77777777" w:rsidR="00A82751" w:rsidRPr="00DE2167" w:rsidRDefault="00A82751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ACE50" w14:textId="25AFDD62" w:rsidR="00A82751" w:rsidRPr="00DE2167" w:rsidRDefault="00A82751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94</w:t>
            </w:r>
            <w:r w:rsidRPr="00DE2167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A82751" w:rsidRPr="001B2383" w14:paraId="761622CA" w14:textId="77777777" w:rsidTr="00A82751">
        <w:trPr>
          <w:trHeight w:val="31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67FE0" w14:textId="77777777" w:rsidR="00A82751" w:rsidRPr="001B2383" w:rsidRDefault="00A82751" w:rsidP="00F62C04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1B2383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4A849" w14:textId="5A0E3218" w:rsidR="00A82751" w:rsidRPr="00DE2167" w:rsidRDefault="00A82751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8F8A6" w14:textId="5FBAC43F" w:rsidR="00A82751" w:rsidRPr="00DE2167" w:rsidRDefault="00A82751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6C0FA" w14:textId="082C065F" w:rsidR="00A82751" w:rsidRPr="00DE2167" w:rsidRDefault="00A82751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8</w:t>
            </w:r>
            <w:r w:rsidRPr="00DE2167">
              <w:rPr>
                <w:rFonts w:cs="Arial"/>
                <w:color w:val="000000"/>
                <w:szCs w:val="24"/>
              </w:rPr>
              <w:t>0%</w:t>
            </w:r>
          </w:p>
        </w:tc>
      </w:tr>
    </w:tbl>
    <w:p w14:paraId="4A4195C5" w14:textId="77777777" w:rsidR="001B2383" w:rsidRDefault="001B2383" w:rsidP="00C12816">
      <w:pPr>
        <w:spacing w:line="360" w:lineRule="auto"/>
        <w:rPr>
          <w:rFonts w:eastAsiaTheme="majorEastAsia" w:cs="Arial"/>
          <w:bCs/>
          <w:color w:val="365F91" w:themeColor="accent1" w:themeShade="BF"/>
          <w:sz w:val="28"/>
          <w:szCs w:val="28"/>
        </w:rPr>
      </w:pPr>
    </w:p>
    <w:p w14:paraId="511B801B" w14:textId="77777777" w:rsidR="00B41B1F" w:rsidRPr="00C12816" w:rsidRDefault="00B41B1F" w:rsidP="00C12816">
      <w:pPr>
        <w:spacing w:line="360" w:lineRule="auto"/>
        <w:rPr>
          <w:rFonts w:eastAsiaTheme="majorEastAsia" w:cs="Arial"/>
          <w:b/>
          <w:bCs/>
          <w:color w:val="365F91" w:themeColor="accent1" w:themeShade="BF"/>
          <w:sz w:val="28"/>
          <w:szCs w:val="28"/>
        </w:rPr>
      </w:pPr>
      <w:r w:rsidRPr="00C12816">
        <w:rPr>
          <w:rFonts w:cs="Arial"/>
          <w:b/>
          <w:szCs w:val="24"/>
        </w:rPr>
        <w:t>Commentary</w:t>
      </w:r>
    </w:p>
    <w:p w14:paraId="270E67F9" w14:textId="4357405A" w:rsidR="00B41B1F" w:rsidRDefault="001B2383" w:rsidP="00C12816">
      <w:pPr>
        <w:spacing w:line="360" w:lineRule="auto"/>
        <w:rPr>
          <w:rFonts w:cs="Arial"/>
          <w:color w:val="17365D" w:themeColor="text2" w:themeShade="BF"/>
          <w:sz w:val="32"/>
          <w:szCs w:val="32"/>
        </w:rPr>
      </w:pPr>
      <w:r>
        <w:rPr>
          <w:rFonts w:eastAsiaTheme="majorEastAsia" w:cs="Arial"/>
          <w:bCs/>
          <w:szCs w:val="24"/>
        </w:rPr>
        <w:t>During the academic year 20</w:t>
      </w:r>
      <w:r w:rsidR="00A82751">
        <w:rPr>
          <w:rFonts w:eastAsiaTheme="majorEastAsia" w:cs="Arial"/>
          <w:bCs/>
          <w:szCs w:val="24"/>
        </w:rPr>
        <w:t>20</w:t>
      </w:r>
      <w:r w:rsidRPr="001B2383">
        <w:rPr>
          <w:rFonts w:eastAsiaTheme="majorEastAsia" w:cs="Arial"/>
          <w:bCs/>
          <w:szCs w:val="24"/>
        </w:rPr>
        <w:t>-</w:t>
      </w:r>
      <w:r w:rsidR="000F0473">
        <w:rPr>
          <w:rFonts w:eastAsiaTheme="majorEastAsia" w:cs="Arial"/>
          <w:bCs/>
          <w:szCs w:val="24"/>
        </w:rPr>
        <w:t>2</w:t>
      </w:r>
      <w:r w:rsidR="00A82751">
        <w:rPr>
          <w:rFonts w:eastAsiaTheme="majorEastAsia" w:cs="Arial"/>
          <w:bCs/>
          <w:szCs w:val="24"/>
        </w:rPr>
        <w:t>1</w:t>
      </w:r>
      <w:r w:rsidR="00913786">
        <w:rPr>
          <w:rFonts w:eastAsiaTheme="majorEastAsia" w:cs="Arial"/>
          <w:bCs/>
          <w:szCs w:val="24"/>
        </w:rPr>
        <w:t xml:space="preserve">, </w:t>
      </w:r>
      <w:r w:rsidR="00A82751">
        <w:rPr>
          <w:rFonts w:eastAsiaTheme="majorEastAsia" w:cs="Arial"/>
          <w:bCs/>
          <w:szCs w:val="24"/>
        </w:rPr>
        <w:t>10</w:t>
      </w:r>
      <w:r>
        <w:rPr>
          <w:rFonts w:eastAsiaTheme="majorEastAsia" w:cs="Arial"/>
          <w:bCs/>
          <w:szCs w:val="24"/>
        </w:rPr>
        <w:t xml:space="preserve"> application</w:t>
      </w:r>
      <w:r w:rsidR="00913786">
        <w:rPr>
          <w:rFonts w:eastAsiaTheme="majorEastAsia" w:cs="Arial"/>
          <w:bCs/>
          <w:szCs w:val="24"/>
        </w:rPr>
        <w:t>s</w:t>
      </w:r>
      <w:r>
        <w:rPr>
          <w:rFonts w:eastAsiaTheme="majorEastAsia" w:cs="Arial"/>
          <w:bCs/>
          <w:szCs w:val="24"/>
        </w:rPr>
        <w:t xml:space="preserve"> </w:t>
      </w:r>
      <w:r w:rsidR="00913786">
        <w:rPr>
          <w:rFonts w:eastAsiaTheme="majorEastAsia" w:cs="Arial"/>
          <w:bCs/>
          <w:szCs w:val="24"/>
        </w:rPr>
        <w:t>for promotion were received from</w:t>
      </w:r>
      <w:r>
        <w:rPr>
          <w:rFonts w:eastAsiaTheme="majorEastAsia" w:cs="Arial"/>
          <w:bCs/>
          <w:szCs w:val="24"/>
        </w:rPr>
        <w:t xml:space="preserve"> disabled </w:t>
      </w:r>
      <w:r w:rsidR="00B41B1F">
        <w:rPr>
          <w:rFonts w:eastAsiaTheme="majorEastAsia" w:cs="Arial"/>
          <w:bCs/>
          <w:szCs w:val="24"/>
        </w:rPr>
        <w:t xml:space="preserve">academic staff and </w:t>
      </w:r>
      <w:r w:rsidR="00913786">
        <w:rPr>
          <w:rFonts w:eastAsiaTheme="majorEastAsia" w:cs="Arial"/>
          <w:bCs/>
          <w:szCs w:val="24"/>
        </w:rPr>
        <w:t>all were</w:t>
      </w:r>
      <w:r w:rsidR="00E36D57">
        <w:rPr>
          <w:rFonts w:eastAsiaTheme="majorEastAsia" w:cs="Arial"/>
          <w:bCs/>
          <w:szCs w:val="24"/>
        </w:rPr>
        <w:t xml:space="preserve"> successful.</w:t>
      </w:r>
      <w:r w:rsidR="00A82751">
        <w:rPr>
          <w:rFonts w:eastAsiaTheme="majorEastAsia" w:cs="Arial"/>
          <w:bCs/>
          <w:szCs w:val="24"/>
        </w:rPr>
        <w:t xml:space="preserve"> Last year there were 4 applications all of which were successful.</w:t>
      </w:r>
    </w:p>
    <w:p w14:paraId="6EB77EF7" w14:textId="77777777" w:rsidR="009B126E" w:rsidRDefault="009B126E" w:rsidP="00C12816">
      <w:pPr>
        <w:pStyle w:val="Heading3"/>
      </w:pPr>
      <w:bookmarkStart w:id="5" w:name="_Toc56593215"/>
    </w:p>
    <w:p w14:paraId="108EBCD3" w14:textId="77777777" w:rsidR="00436E4E" w:rsidRDefault="00436E4E" w:rsidP="00C12816">
      <w:pPr>
        <w:pStyle w:val="Heading3"/>
      </w:pPr>
      <w:r w:rsidRPr="00B41B1F">
        <w:t>Ethnicity</w:t>
      </w:r>
      <w:bookmarkEnd w:id="5"/>
      <w:r w:rsidRPr="00B41B1F"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Promotions by Ethnicity (Up to &amp; including Grade 9)"/>
        <w:tblDescription w:val="Table showing the number and percentage of successful and unsuccessful  academic staff promotions by ethnicity in 2018-19. Categories include white, BME, prefer not to answer and unknown."/>
      </w:tblPr>
      <w:tblGrid>
        <w:gridCol w:w="1802"/>
        <w:gridCol w:w="1801"/>
        <w:gridCol w:w="1801"/>
        <w:gridCol w:w="1801"/>
        <w:gridCol w:w="1801"/>
      </w:tblGrid>
      <w:tr w:rsidR="00BD5F74" w:rsidRPr="00B41B1F" w14:paraId="34C0499E" w14:textId="77777777" w:rsidTr="00BD5F74">
        <w:trPr>
          <w:trHeight w:val="615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529A9" w14:textId="77777777" w:rsidR="00B41B1F" w:rsidRPr="00DE2167" w:rsidRDefault="00B41B1F" w:rsidP="00C12816">
            <w:pP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C11C9" w14:textId="77777777" w:rsidR="00B41B1F" w:rsidRPr="00DE2167" w:rsidRDefault="00B41B1F" w:rsidP="00DE2167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31A3F" w14:textId="77777777" w:rsidR="00B41B1F" w:rsidRPr="00DE2167" w:rsidRDefault="00B41B1F" w:rsidP="00DE2167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2AEA3" w14:textId="77777777" w:rsidR="00B41B1F" w:rsidRPr="00DE2167" w:rsidRDefault="00B41B1F" w:rsidP="00DE2167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Unsuccessful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2958F" w14:textId="77777777" w:rsidR="00B41B1F" w:rsidRPr="00DE2167" w:rsidRDefault="00B41B1F" w:rsidP="00DE2167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513CDF" w:rsidRPr="00B41B1F" w14:paraId="0EFB23B9" w14:textId="77777777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D514DB" w14:textId="77777777" w:rsidR="00513CDF" w:rsidRPr="00DE2167" w:rsidRDefault="00513CDF" w:rsidP="00513CDF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Black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8DE2F6" w14:textId="6ABA1652" w:rsidR="00513CDF" w:rsidRPr="00DE2167" w:rsidRDefault="00A82751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48C332" w14:textId="70F623AE" w:rsidR="00513CDF" w:rsidRPr="00DE2167" w:rsidRDefault="00A82751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75281C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9096EE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13CDF" w:rsidRPr="00B41B1F" w14:paraId="105F7687" w14:textId="77777777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961BF7" w14:textId="77777777" w:rsidR="00513CDF" w:rsidRPr="00DE2167" w:rsidRDefault="00513CDF" w:rsidP="00513CDF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White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BBAF91" w14:textId="356C567C" w:rsidR="00513CDF" w:rsidRPr="00DE2167" w:rsidRDefault="00A82751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4B2989" w14:textId="11DA4C5E" w:rsidR="00513CDF" w:rsidRPr="00DE2167" w:rsidRDefault="00A82751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88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856123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EC32A3" w14:textId="5C31C25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</w:t>
            </w:r>
            <w:r w:rsidR="00A82751">
              <w:rPr>
                <w:rFonts w:cs="Arial"/>
                <w:color w:val="000000"/>
                <w:szCs w:val="24"/>
              </w:rPr>
              <w:t>3</w:t>
            </w:r>
            <w:r w:rsidRPr="00DE2167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513CDF" w:rsidRPr="00B41B1F" w14:paraId="4E313DE3" w14:textId="77777777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52CE51" w14:textId="77777777" w:rsidR="00513CDF" w:rsidRPr="00DE2167" w:rsidRDefault="00513CDF" w:rsidP="00513CDF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Asian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C1D8E3" w14:textId="25E540EC" w:rsidR="00513CDF" w:rsidRPr="00DE2167" w:rsidRDefault="00A82751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AA3FAC" w14:textId="77BCD932" w:rsidR="00513CDF" w:rsidRPr="00DE2167" w:rsidRDefault="00A82751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59A710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6AFB23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13CDF" w:rsidRPr="00B41B1F" w14:paraId="28179144" w14:textId="77777777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22014F1" w14:textId="77777777" w:rsidR="00513CDF" w:rsidRPr="00DE2167" w:rsidRDefault="00513CDF" w:rsidP="00513CDF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Mixed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3D03579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5A02737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C0D5506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683C489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13CDF" w:rsidRPr="00B41B1F" w14:paraId="670ABB77" w14:textId="77777777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B2C9AD9" w14:textId="77777777" w:rsidR="00513CDF" w:rsidRPr="00DE2167" w:rsidRDefault="00513CDF" w:rsidP="00513CDF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93D32B3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BCEDBE2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9D66BA7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1ECDDEE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513CDF" w:rsidRPr="00B41B1F" w14:paraId="1A660002" w14:textId="77777777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C6B36D" w14:textId="77777777" w:rsidR="00513CDF" w:rsidRPr="00DE2167" w:rsidRDefault="00513CDF" w:rsidP="00513CDF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EDE255A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B4BD5D9" w14:textId="52FB4C0D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</w:t>
            </w:r>
            <w:r w:rsidR="00A82751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757ABBD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9645D8E" w14:textId="0CEC3FD3" w:rsidR="00513CDF" w:rsidRPr="00DE2167" w:rsidRDefault="00A82751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94</w:t>
            </w:r>
            <w:r w:rsidR="00513CDF" w:rsidRPr="00DE2167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513CDF" w:rsidRPr="00B41B1F" w14:paraId="749EEC47" w14:textId="77777777" w:rsidTr="00DE216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1B0419" w14:textId="77777777" w:rsidR="00513CDF" w:rsidRPr="00DE2167" w:rsidRDefault="00513CDF" w:rsidP="00513CDF">
            <w:pPr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7915D6" w14:textId="5F6D14FF" w:rsidR="00513CDF" w:rsidRPr="00DE2167" w:rsidRDefault="00A82751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479C04" w14:textId="03189ACB" w:rsidR="00513CDF" w:rsidRPr="00DE2167" w:rsidRDefault="00A82751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392728" w14:textId="77777777" w:rsidR="00513CDF" w:rsidRPr="00DE2167" w:rsidRDefault="00513CDF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A02457" w14:textId="29057046" w:rsidR="00513CDF" w:rsidRPr="00DE2167" w:rsidRDefault="00A82751" w:rsidP="00DE2167">
            <w:pPr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75</w:t>
            </w:r>
            <w:r w:rsidR="00513CDF" w:rsidRPr="00DE2167">
              <w:rPr>
                <w:rFonts w:cs="Arial"/>
                <w:color w:val="000000"/>
                <w:szCs w:val="24"/>
              </w:rPr>
              <w:t>%</w:t>
            </w:r>
          </w:p>
        </w:tc>
      </w:tr>
    </w:tbl>
    <w:p w14:paraId="0FDB555C" w14:textId="77777777" w:rsidR="002C768B" w:rsidRDefault="002C768B" w:rsidP="00C12816">
      <w:pPr>
        <w:rPr>
          <w:rFonts w:cs="Arial"/>
        </w:rPr>
      </w:pPr>
    </w:p>
    <w:p w14:paraId="6C665DBF" w14:textId="1F90BB98" w:rsidR="00486294" w:rsidRDefault="00B41B1F" w:rsidP="00C12816">
      <w:pPr>
        <w:spacing w:line="360" w:lineRule="auto"/>
        <w:rPr>
          <w:rFonts w:cs="Arial"/>
          <w:szCs w:val="24"/>
        </w:rPr>
      </w:pPr>
      <w:r w:rsidRPr="00C12816">
        <w:rPr>
          <w:rFonts w:cs="Arial"/>
          <w:b/>
          <w:szCs w:val="24"/>
        </w:rPr>
        <w:t>Commentary</w:t>
      </w:r>
      <w:r>
        <w:rPr>
          <w:rFonts w:cs="Arial"/>
          <w:i/>
          <w:szCs w:val="24"/>
        </w:rPr>
        <w:br/>
      </w:r>
      <w:r w:rsidR="006E69B4">
        <w:rPr>
          <w:rFonts w:cs="Arial"/>
          <w:szCs w:val="24"/>
        </w:rPr>
        <w:t>During the academic year 20</w:t>
      </w:r>
      <w:r w:rsidR="00A82751">
        <w:rPr>
          <w:rFonts w:cs="Arial"/>
          <w:szCs w:val="24"/>
        </w:rPr>
        <w:t>20</w:t>
      </w:r>
      <w:r w:rsidR="006E69B4">
        <w:rPr>
          <w:rFonts w:cs="Arial"/>
          <w:szCs w:val="24"/>
        </w:rPr>
        <w:t>-2</w:t>
      </w:r>
      <w:r w:rsidR="00A82751">
        <w:rPr>
          <w:rFonts w:cs="Arial"/>
          <w:szCs w:val="24"/>
        </w:rPr>
        <w:t>1</w:t>
      </w:r>
      <w:r w:rsidRPr="00B41B1F">
        <w:rPr>
          <w:rFonts w:cs="Arial"/>
          <w:szCs w:val="24"/>
        </w:rPr>
        <w:t>, 100% of promotion applications from B</w:t>
      </w:r>
      <w:r w:rsidR="000B2CE9">
        <w:rPr>
          <w:rFonts w:cs="Arial"/>
          <w:szCs w:val="24"/>
        </w:rPr>
        <w:t xml:space="preserve">lack, </w:t>
      </w:r>
      <w:r w:rsidR="00311719">
        <w:rPr>
          <w:rFonts w:cs="Arial"/>
          <w:szCs w:val="24"/>
        </w:rPr>
        <w:t>A</w:t>
      </w:r>
      <w:r w:rsidR="000B2CE9">
        <w:rPr>
          <w:rFonts w:cs="Arial"/>
          <w:szCs w:val="24"/>
        </w:rPr>
        <w:t xml:space="preserve">sian, </w:t>
      </w:r>
      <w:r w:rsidRPr="00B41B1F">
        <w:rPr>
          <w:rFonts w:cs="Arial"/>
          <w:szCs w:val="24"/>
        </w:rPr>
        <w:t>M</w:t>
      </w:r>
      <w:r w:rsidR="000B2CE9">
        <w:rPr>
          <w:rFonts w:cs="Arial"/>
          <w:szCs w:val="24"/>
        </w:rPr>
        <w:t>ixed and Other</w:t>
      </w:r>
      <w:r w:rsidRPr="00B41B1F">
        <w:rPr>
          <w:rFonts w:cs="Arial"/>
          <w:szCs w:val="24"/>
        </w:rPr>
        <w:t xml:space="preserve"> </w:t>
      </w:r>
      <w:r w:rsidR="00467F36" w:rsidRPr="00B41B1F">
        <w:rPr>
          <w:rFonts w:cs="Arial"/>
          <w:szCs w:val="24"/>
        </w:rPr>
        <w:t>academic staff</w:t>
      </w:r>
      <w:r w:rsidR="00164CD9">
        <w:rPr>
          <w:rFonts w:cs="Arial"/>
          <w:szCs w:val="24"/>
        </w:rPr>
        <w:t xml:space="preserve"> were successful (</w:t>
      </w:r>
      <w:r w:rsidR="00311719">
        <w:rPr>
          <w:rFonts w:cs="Arial"/>
          <w:szCs w:val="24"/>
        </w:rPr>
        <w:t xml:space="preserve">also </w:t>
      </w:r>
      <w:r w:rsidR="00164CD9">
        <w:rPr>
          <w:rFonts w:cs="Arial"/>
          <w:szCs w:val="24"/>
        </w:rPr>
        <w:t>100%, 201</w:t>
      </w:r>
      <w:r w:rsidR="00A82751">
        <w:rPr>
          <w:rFonts w:cs="Arial"/>
          <w:szCs w:val="24"/>
        </w:rPr>
        <w:t>9</w:t>
      </w:r>
      <w:r w:rsidRPr="00B41B1F">
        <w:rPr>
          <w:rFonts w:cs="Arial"/>
          <w:szCs w:val="24"/>
        </w:rPr>
        <w:t>-</w:t>
      </w:r>
      <w:r w:rsidR="00A82751">
        <w:rPr>
          <w:rFonts w:cs="Arial"/>
          <w:szCs w:val="24"/>
        </w:rPr>
        <w:t>20</w:t>
      </w:r>
      <w:r w:rsidRPr="00B41B1F">
        <w:rPr>
          <w:rFonts w:cs="Arial"/>
          <w:szCs w:val="24"/>
        </w:rPr>
        <w:t>). This compares to a 9</w:t>
      </w:r>
      <w:r w:rsidR="00A82751">
        <w:rPr>
          <w:rFonts w:cs="Arial"/>
          <w:szCs w:val="24"/>
        </w:rPr>
        <w:t>3</w:t>
      </w:r>
      <w:r w:rsidRPr="00B41B1F">
        <w:rPr>
          <w:rFonts w:cs="Arial"/>
          <w:szCs w:val="24"/>
        </w:rPr>
        <w:t>% success r</w:t>
      </w:r>
      <w:r w:rsidR="00C72E70">
        <w:rPr>
          <w:rFonts w:cs="Arial"/>
          <w:szCs w:val="24"/>
        </w:rPr>
        <w:t>ate for W</w:t>
      </w:r>
      <w:r w:rsidR="00A15E1B">
        <w:rPr>
          <w:rFonts w:cs="Arial"/>
          <w:szCs w:val="24"/>
        </w:rPr>
        <w:t>hite academic staff (9</w:t>
      </w:r>
      <w:r w:rsidR="00A82751">
        <w:rPr>
          <w:rFonts w:cs="Arial"/>
          <w:szCs w:val="24"/>
        </w:rPr>
        <w:t>4</w:t>
      </w:r>
      <w:r w:rsidRPr="00B41B1F">
        <w:rPr>
          <w:rFonts w:cs="Arial"/>
          <w:szCs w:val="24"/>
        </w:rPr>
        <w:t>%, 201</w:t>
      </w:r>
      <w:r w:rsidR="00361FE6">
        <w:rPr>
          <w:rFonts w:cs="Arial"/>
          <w:szCs w:val="24"/>
        </w:rPr>
        <w:t>8</w:t>
      </w:r>
      <w:r w:rsidR="00A15E1B">
        <w:rPr>
          <w:rFonts w:cs="Arial"/>
          <w:szCs w:val="24"/>
        </w:rPr>
        <w:t>-1</w:t>
      </w:r>
      <w:r w:rsidR="00361FE6">
        <w:rPr>
          <w:rFonts w:cs="Arial"/>
          <w:szCs w:val="24"/>
        </w:rPr>
        <w:t>9</w:t>
      </w:r>
      <w:r w:rsidRPr="00B41B1F">
        <w:rPr>
          <w:rFonts w:cs="Arial"/>
          <w:szCs w:val="24"/>
        </w:rPr>
        <w:t>)</w:t>
      </w:r>
      <w:r w:rsidR="00467F36">
        <w:rPr>
          <w:rFonts w:cs="Arial"/>
          <w:szCs w:val="24"/>
        </w:rPr>
        <w:t>.</w:t>
      </w:r>
    </w:p>
    <w:p w14:paraId="6737ABEE" w14:textId="77777777" w:rsidR="00A82751" w:rsidRDefault="00A82751" w:rsidP="00C12816">
      <w:pPr>
        <w:spacing w:line="360" w:lineRule="auto"/>
        <w:rPr>
          <w:rFonts w:cs="Arial"/>
          <w:szCs w:val="24"/>
        </w:rPr>
      </w:pPr>
    </w:p>
    <w:p w14:paraId="2E27527D" w14:textId="77777777" w:rsidR="00B234F2" w:rsidRDefault="00B234F2" w:rsidP="00C12816">
      <w:pPr>
        <w:pStyle w:val="Heading3"/>
      </w:pPr>
      <w:bookmarkStart w:id="6" w:name="_Toc56593216"/>
      <w:r w:rsidRPr="00467F36">
        <w:lastRenderedPageBreak/>
        <w:t>Gender</w:t>
      </w:r>
      <w:bookmarkEnd w:id="6"/>
      <w:r w:rsidRPr="00467F36">
        <w:t xml:space="preserve"> </w:t>
      </w:r>
    </w:p>
    <w:tbl>
      <w:tblPr>
        <w:tblW w:w="4000" w:type="pct"/>
        <w:tblInd w:w="903" w:type="dxa"/>
        <w:tblLayout w:type="fixed"/>
        <w:tblLook w:val="04A0" w:firstRow="1" w:lastRow="0" w:firstColumn="1" w:lastColumn="0" w:noHBand="0" w:noVBand="1"/>
        <w:tblCaption w:val="Academic Staff Promotions by Gender (Up to &amp; including Grade 9)"/>
        <w:tblDescription w:val="Table showing the number and percentage of successful and unsuccessful academic staff promotions by gender. Categories include female and male."/>
      </w:tblPr>
      <w:tblGrid>
        <w:gridCol w:w="1803"/>
        <w:gridCol w:w="1801"/>
        <w:gridCol w:w="1801"/>
        <w:gridCol w:w="1800"/>
      </w:tblGrid>
      <w:tr w:rsidR="000A0CC8" w:rsidRPr="00467F36" w14:paraId="0830986D" w14:textId="77777777" w:rsidTr="000A0CC8">
        <w:trPr>
          <w:trHeight w:val="615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440AE" w14:textId="77777777" w:rsidR="000A0CC8" w:rsidRPr="00467F36" w:rsidRDefault="000A0CC8" w:rsidP="00C12816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220B1" w14:textId="77777777" w:rsidR="000A0CC8" w:rsidRPr="00467F36" w:rsidRDefault="000A0CC8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67F36">
              <w:rPr>
                <w:rFonts w:eastAsia="Times New Roman" w:cs="Arial"/>
                <w:b/>
                <w:bCs/>
                <w:color w:val="000000"/>
                <w:lang w:eastAsia="en-GB"/>
              </w:rPr>
              <w:t>Number of applications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CD2BD" w14:textId="77777777" w:rsidR="000A0CC8" w:rsidRPr="00467F36" w:rsidRDefault="000A0CC8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67F36">
              <w:rPr>
                <w:rFonts w:eastAsia="Times New Roman" w:cs="Arial"/>
                <w:b/>
                <w:bCs/>
                <w:color w:val="000000"/>
                <w:lang w:eastAsia="en-GB"/>
              </w:rPr>
              <w:t>Successful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19367" w14:textId="77777777" w:rsidR="000A0CC8" w:rsidRPr="00467F36" w:rsidRDefault="000A0CC8" w:rsidP="00DE216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467F36">
              <w:rPr>
                <w:rFonts w:eastAsia="Times New Roman" w:cs="Arial"/>
                <w:b/>
                <w:bCs/>
                <w:color w:val="000000"/>
                <w:lang w:eastAsia="en-GB"/>
              </w:rPr>
              <w:t>% Successful</w:t>
            </w:r>
          </w:p>
        </w:tc>
      </w:tr>
      <w:tr w:rsidR="000A0CC8" w:rsidRPr="00467F36" w14:paraId="7BF7413C" w14:textId="77777777" w:rsidTr="000A0CC8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432CA" w14:textId="77777777" w:rsidR="000A0CC8" w:rsidRPr="00467F36" w:rsidRDefault="000A0CC8" w:rsidP="00167B6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67F36">
              <w:rPr>
                <w:rFonts w:eastAsia="Times New Roman" w:cs="Arial"/>
                <w:b/>
                <w:color w:val="000000"/>
                <w:lang w:eastAsia="en-GB"/>
              </w:rPr>
              <w:t>Female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D5439" w14:textId="1F52514E" w:rsidR="000A0CC8" w:rsidRPr="00DE2167" w:rsidRDefault="000A0CC8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7</w:t>
            </w:r>
            <w:r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5125A" w14:textId="6A542DB0" w:rsidR="000A0CC8" w:rsidRPr="00DE2167" w:rsidRDefault="000A0CC8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71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2DBC" w14:textId="418DC4A2" w:rsidR="000A0CC8" w:rsidRPr="00DE2167" w:rsidRDefault="000A0CC8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</w:t>
            </w:r>
            <w:r>
              <w:rPr>
                <w:rFonts w:cs="Arial"/>
                <w:color w:val="000000"/>
                <w:szCs w:val="24"/>
              </w:rPr>
              <w:t>3</w:t>
            </w:r>
            <w:r w:rsidRPr="00DE2167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0A0CC8" w:rsidRPr="00467F36" w14:paraId="43848B1A" w14:textId="77777777" w:rsidTr="000A0CC8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EA6FD" w14:textId="77777777" w:rsidR="000A0CC8" w:rsidRPr="00467F36" w:rsidRDefault="000A0CC8" w:rsidP="00167B6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467F36">
              <w:rPr>
                <w:rFonts w:eastAsia="Times New Roman" w:cs="Arial"/>
                <w:b/>
                <w:color w:val="000000"/>
                <w:lang w:eastAsia="en-GB"/>
              </w:rPr>
              <w:t>Male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1799" w14:textId="10A937B2" w:rsidR="000A0CC8" w:rsidRPr="00DE2167" w:rsidRDefault="000A0CC8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63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AFA55" w14:textId="04B3D8D6" w:rsidR="000A0CC8" w:rsidRPr="00DE2167" w:rsidRDefault="000A0CC8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59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043D" w14:textId="58D42E0F" w:rsidR="000A0CC8" w:rsidRPr="00DE2167" w:rsidRDefault="000A0CC8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9</w:t>
            </w:r>
            <w:r>
              <w:rPr>
                <w:rFonts w:cs="Arial"/>
                <w:color w:val="000000"/>
                <w:szCs w:val="24"/>
              </w:rPr>
              <w:t>4</w:t>
            </w:r>
            <w:r w:rsidRPr="00DE2167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0A0CC8" w:rsidRPr="00467F36" w14:paraId="299C8DB2" w14:textId="77777777" w:rsidTr="000A0CC8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9307F" w14:textId="77777777" w:rsidR="000A0CC8" w:rsidRPr="00467F36" w:rsidRDefault="000A0CC8" w:rsidP="00167B6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Gender fluid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65FFC" w14:textId="77777777" w:rsidR="000A0CC8" w:rsidRPr="00DE2167" w:rsidRDefault="000A0CC8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D3D4F" w14:textId="58C873EF" w:rsidR="000A0CC8" w:rsidRPr="00DE2167" w:rsidRDefault="000A0CC8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79B45" w14:textId="77777777" w:rsidR="000A0CC8" w:rsidRPr="00DE2167" w:rsidRDefault="000A0CC8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0A0CC8" w:rsidRPr="00467F36" w14:paraId="31C67287" w14:textId="77777777" w:rsidTr="000A0CC8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4A127" w14:textId="77777777" w:rsidR="000A0CC8" w:rsidRPr="00467F36" w:rsidRDefault="000A0CC8" w:rsidP="00167B6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proofErr w:type="gramStart"/>
            <w:r>
              <w:rPr>
                <w:rFonts w:eastAsia="Times New Roman" w:cs="Arial"/>
                <w:b/>
                <w:color w:val="000000"/>
                <w:lang w:eastAsia="en-GB"/>
              </w:rPr>
              <w:t>Non binary</w:t>
            </w:r>
            <w:proofErr w:type="gram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75DEA" w14:textId="77777777" w:rsidR="000A0CC8" w:rsidRPr="00DE2167" w:rsidRDefault="000A0CC8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AA085" w14:textId="368F9EF4" w:rsidR="000A0CC8" w:rsidRPr="00DE2167" w:rsidRDefault="000A0CC8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33F77" w14:textId="77777777" w:rsidR="000A0CC8" w:rsidRPr="00DE2167" w:rsidRDefault="000A0CC8" w:rsidP="002F46F0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0A0CC8" w:rsidRPr="00467F36" w14:paraId="3347D226" w14:textId="77777777" w:rsidTr="000A0CC8">
        <w:trPr>
          <w:trHeight w:val="31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464A9" w14:textId="77777777" w:rsidR="000A0CC8" w:rsidRPr="00467F36" w:rsidRDefault="000A0CC8" w:rsidP="00167B60">
            <w:pPr>
              <w:spacing w:line="36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lang w:eastAsia="en-GB"/>
              </w:rPr>
              <w:t>Other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6630B" w14:textId="77777777" w:rsidR="000A0CC8" w:rsidRPr="00DE2167" w:rsidRDefault="000A0CC8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24096" w14:textId="1137FBDE" w:rsidR="000A0CC8" w:rsidRPr="00DE2167" w:rsidRDefault="000A0CC8" w:rsidP="00DE216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66E72" w14:textId="77777777" w:rsidR="000A0CC8" w:rsidRPr="00DE2167" w:rsidRDefault="000A0CC8" w:rsidP="002F46F0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</w:tbl>
    <w:p w14:paraId="6555C143" w14:textId="77777777" w:rsidR="00467F36" w:rsidRPr="00467F36" w:rsidRDefault="00467F36" w:rsidP="00C12816">
      <w:pPr>
        <w:spacing w:line="360" w:lineRule="auto"/>
      </w:pPr>
    </w:p>
    <w:p w14:paraId="25E40FCB" w14:textId="3FB8A84E" w:rsidR="001F29A5" w:rsidRDefault="00467F36" w:rsidP="00C12816">
      <w:pPr>
        <w:spacing w:line="360" w:lineRule="auto"/>
        <w:rPr>
          <w:rFonts w:cs="Arial"/>
          <w:szCs w:val="24"/>
        </w:rPr>
      </w:pPr>
      <w:r w:rsidRPr="00C12816">
        <w:rPr>
          <w:rFonts w:cs="Arial"/>
          <w:b/>
          <w:szCs w:val="24"/>
        </w:rPr>
        <w:t>Commentary</w:t>
      </w:r>
      <w:r w:rsidRPr="00467F36">
        <w:rPr>
          <w:rFonts w:cs="Arial"/>
          <w:i/>
          <w:szCs w:val="24"/>
        </w:rPr>
        <w:br/>
      </w:r>
      <w:r w:rsidR="002D7282">
        <w:rPr>
          <w:rFonts w:cs="Arial"/>
          <w:szCs w:val="24"/>
        </w:rPr>
        <w:t xml:space="preserve">The </w:t>
      </w:r>
      <w:r w:rsidR="0020320F">
        <w:rPr>
          <w:rFonts w:cs="Arial"/>
          <w:szCs w:val="24"/>
        </w:rPr>
        <w:t>success rate for</w:t>
      </w:r>
      <w:r>
        <w:rPr>
          <w:rFonts w:cs="Arial"/>
          <w:szCs w:val="24"/>
        </w:rPr>
        <w:t xml:space="preserve"> female </w:t>
      </w:r>
      <w:r w:rsidR="002D7282">
        <w:rPr>
          <w:rFonts w:cs="Arial"/>
          <w:szCs w:val="24"/>
        </w:rPr>
        <w:t>promotion applications in 20</w:t>
      </w:r>
      <w:r w:rsidR="000A0CC8">
        <w:rPr>
          <w:rFonts w:cs="Arial"/>
          <w:szCs w:val="24"/>
        </w:rPr>
        <w:t>20</w:t>
      </w:r>
      <w:r w:rsidR="002D7282">
        <w:rPr>
          <w:rFonts w:cs="Arial"/>
          <w:szCs w:val="24"/>
        </w:rPr>
        <w:t>-</w:t>
      </w:r>
      <w:r w:rsidR="00C94C4A">
        <w:rPr>
          <w:rFonts w:cs="Arial"/>
          <w:szCs w:val="24"/>
        </w:rPr>
        <w:t>2</w:t>
      </w:r>
      <w:r w:rsidR="000A0CC8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w</w:t>
      </w:r>
      <w:r w:rsidR="002D7282">
        <w:rPr>
          <w:rFonts w:cs="Arial"/>
          <w:szCs w:val="24"/>
        </w:rPr>
        <w:t>as</w:t>
      </w:r>
      <w:r w:rsidR="000A0CC8">
        <w:rPr>
          <w:rFonts w:cs="Arial"/>
          <w:szCs w:val="24"/>
        </w:rPr>
        <w:t xml:space="preserve"> 93% (</w:t>
      </w:r>
      <w:r w:rsidR="002D7282">
        <w:rPr>
          <w:rFonts w:cs="Arial"/>
          <w:szCs w:val="24"/>
        </w:rPr>
        <w:t>9</w:t>
      </w:r>
      <w:r w:rsidR="00C94C4A">
        <w:rPr>
          <w:rFonts w:cs="Arial"/>
          <w:szCs w:val="24"/>
        </w:rPr>
        <w:t>7</w:t>
      </w:r>
      <w:r w:rsidR="002D7282">
        <w:rPr>
          <w:rFonts w:cs="Arial"/>
          <w:szCs w:val="24"/>
        </w:rPr>
        <w:t>%</w:t>
      </w:r>
      <w:r w:rsidR="000A0CC8">
        <w:rPr>
          <w:rFonts w:cs="Arial"/>
          <w:szCs w:val="24"/>
        </w:rPr>
        <w:t xml:space="preserve"> in 2019-20)</w:t>
      </w:r>
      <w:r w:rsidR="00C94C4A">
        <w:rPr>
          <w:rFonts w:cs="Arial"/>
          <w:szCs w:val="24"/>
        </w:rPr>
        <w:t xml:space="preserve"> and for male applications was </w:t>
      </w:r>
      <w:r w:rsidR="000A0CC8">
        <w:rPr>
          <w:rFonts w:cs="Arial"/>
          <w:szCs w:val="24"/>
        </w:rPr>
        <w:t>94% (</w:t>
      </w:r>
      <w:r w:rsidR="00C94C4A">
        <w:rPr>
          <w:rFonts w:cs="Arial"/>
          <w:szCs w:val="24"/>
        </w:rPr>
        <w:t>91%</w:t>
      </w:r>
      <w:r w:rsidR="000A0CC8">
        <w:rPr>
          <w:rFonts w:cs="Arial"/>
          <w:szCs w:val="24"/>
        </w:rPr>
        <w:t xml:space="preserve"> in 2019/20)</w:t>
      </w:r>
      <w:r w:rsidR="00977693">
        <w:rPr>
          <w:rFonts w:cs="Arial"/>
          <w:szCs w:val="24"/>
        </w:rPr>
        <w:t>.</w:t>
      </w:r>
      <w:r w:rsidR="00C94C4A">
        <w:rPr>
          <w:rFonts w:cs="Arial"/>
          <w:szCs w:val="24"/>
        </w:rPr>
        <w:t xml:space="preserve"> No applications were received from staff who are gender fluid, </w:t>
      </w:r>
      <w:proofErr w:type="spellStart"/>
      <w:proofErr w:type="gramStart"/>
      <w:r w:rsidR="00C94C4A">
        <w:rPr>
          <w:rFonts w:cs="Arial"/>
          <w:szCs w:val="24"/>
        </w:rPr>
        <w:t>non binary</w:t>
      </w:r>
      <w:proofErr w:type="spellEnd"/>
      <w:proofErr w:type="gramEnd"/>
      <w:r w:rsidR="00C94C4A">
        <w:rPr>
          <w:rFonts w:cs="Arial"/>
          <w:szCs w:val="24"/>
        </w:rPr>
        <w:t xml:space="preserve"> or other gender.</w:t>
      </w:r>
      <w:r w:rsidR="00977693">
        <w:rPr>
          <w:rFonts w:cs="Arial"/>
          <w:szCs w:val="24"/>
        </w:rPr>
        <w:t xml:space="preserve"> </w:t>
      </w:r>
    </w:p>
    <w:p w14:paraId="393E9A2A" w14:textId="77777777" w:rsidR="00977693" w:rsidRDefault="00977693" w:rsidP="00C12816">
      <w:pPr>
        <w:spacing w:line="360" w:lineRule="auto"/>
        <w:rPr>
          <w:rFonts w:cs="Arial"/>
          <w:szCs w:val="24"/>
        </w:rPr>
      </w:pPr>
    </w:p>
    <w:p w14:paraId="31AD18AC" w14:textId="77777777" w:rsidR="00F52DC6" w:rsidRPr="00BD5F74" w:rsidRDefault="00F52DC6" w:rsidP="00C12816">
      <w:pPr>
        <w:pStyle w:val="Heading3"/>
      </w:pPr>
      <w:bookmarkStart w:id="7" w:name="_Toc56593217"/>
      <w:r w:rsidRPr="00BD5F74">
        <w:t xml:space="preserve">Religion </w:t>
      </w:r>
      <w:r w:rsidR="00AB52E0">
        <w:t>or Belief</w:t>
      </w:r>
      <w:bookmarkEnd w:id="7"/>
    </w:p>
    <w:p w14:paraId="58984909" w14:textId="77777777" w:rsidR="00FB6B60" w:rsidRPr="00511B40" w:rsidRDefault="00FB6B60" w:rsidP="00C12816">
      <w:pPr>
        <w:spacing w:line="360" w:lineRule="auto"/>
      </w:pPr>
    </w:p>
    <w:tbl>
      <w:tblPr>
        <w:tblW w:w="4188" w:type="pct"/>
        <w:tblInd w:w="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cademic Staff Promotions by Religion or Belief (Up to &amp; including Grade 9)"/>
        <w:tblDescription w:val="Table showing the number and percentage of successful and unsuccessful academic staff promotions by religion or belief in 2018-19. Categories include Buddhist, Christian, Hindu, Jewish, Muslim, Sikh, Any other religion, Prefer not to answer and Unknown."/>
      </w:tblPr>
      <w:tblGrid>
        <w:gridCol w:w="2144"/>
        <w:gridCol w:w="1803"/>
        <w:gridCol w:w="1803"/>
        <w:gridCol w:w="1802"/>
      </w:tblGrid>
      <w:tr w:rsidR="00621B04" w:rsidRPr="00E574DB" w14:paraId="0D0CF8FF" w14:textId="77777777" w:rsidTr="00621B04">
        <w:trPr>
          <w:trHeight w:hRule="exact" w:val="618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6D434" w14:textId="77777777" w:rsidR="00621B04" w:rsidRPr="006B3FF1" w:rsidRDefault="00621B04" w:rsidP="00DE216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7CB5A" w14:textId="77777777" w:rsidR="00621B04" w:rsidRPr="00E574DB" w:rsidRDefault="00621B04" w:rsidP="00DE216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574DB">
              <w:rPr>
                <w:b/>
                <w:bCs/>
                <w:color w:val="000000"/>
              </w:rPr>
              <w:t>Number of applications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0E3DC" w14:textId="77777777" w:rsidR="00621B04" w:rsidRPr="00E574DB" w:rsidRDefault="00621B04" w:rsidP="00DE216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574DB">
              <w:rPr>
                <w:b/>
                <w:bCs/>
                <w:color w:val="000000"/>
              </w:rPr>
              <w:t>Successful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5CEF" w14:textId="77777777" w:rsidR="00621B04" w:rsidRPr="00E574DB" w:rsidRDefault="00621B04" w:rsidP="00DE216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E574DB">
              <w:rPr>
                <w:b/>
                <w:bCs/>
                <w:color w:val="000000"/>
              </w:rPr>
              <w:t>% Successful</w:t>
            </w:r>
          </w:p>
        </w:tc>
      </w:tr>
      <w:tr w:rsidR="00621B04" w:rsidRPr="00E574DB" w14:paraId="6EBD21AE" w14:textId="77777777" w:rsidTr="00621B04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8FCA5" w14:textId="77777777" w:rsidR="00621B04" w:rsidRPr="00DE2167" w:rsidRDefault="00621B04" w:rsidP="00621B04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Buddhist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10DA5" w14:textId="1A6345C4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E69D3"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56CA0" w14:textId="79EB6825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A6ED4">
              <w:t>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B4970" w14:textId="77777777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621B04" w:rsidRPr="00E574DB" w14:paraId="25C6DC51" w14:textId="77777777" w:rsidTr="00621B04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201CD" w14:textId="77777777" w:rsidR="00621B04" w:rsidRPr="00DE2167" w:rsidRDefault="00621B04" w:rsidP="00621B04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 xml:space="preserve">Christian 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BFD65" w14:textId="340F069E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E69D3">
              <w:t>30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5096C" w14:textId="4BA87AB9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A6ED4">
              <w:t>26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00E06" w14:textId="2CB4E6DE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</w:t>
            </w:r>
            <w:r w:rsidRPr="00DE2167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621B04" w:rsidRPr="00E574DB" w14:paraId="798A0BB4" w14:textId="77777777" w:rsidTr="00621B04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EC4A0" w14:textId="77777777" w:rsidR="00621B04" w:rsidRPr="00DE2167" w:rsidRDefault="00621B04" w:rsidP="00621B04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Hindu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A069E" w14:textId="5414BD0A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E69D3"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6CA2BB" w14:textId="5119CAF3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A6ED4"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FB7C6" w14:textId="77777777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621B04" w:rsidRPr="00E574DB" w14:paraId="1BA895D2" w14:textId="77777777" w:rsidTr="00621B04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0045B" w14:textId="77777777" w:rsidR="00621B04" w:rsidRPr="00DE2167" w:rsidRDefault="00621B04" w:rsidP="00621B04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Jewish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3FC95" w14:textId="6831640E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E69D3"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5DE50D" w14:textId="398A7D68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A6ED4">
              <w:t>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D3F78" w14:textId="77777777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621B04" w:rsidRPr="00E574DB" w14:paraId="1B625399" w14:textId="77777777" w:rsidTr="00621B04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847BF" w14:textId="77777777" w:rsidR="00621B04" w:rsidRPr="00DE2167" w:rsidRDefault="00621B04" w:rsidP="00621B04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Muslim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5358A" w14:textId="0F1EFEF9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E69D3"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3D016" w14:textId="5C17BC02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A6ED4">
              <w:t>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57911" w14:textId="77777777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621B04" w:rsidRPr="00E574DB" w14:paraId="226EDC59" w14:textId="77777777" w:rsidTr="00621B04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DE6EE" w14:textId="77777777" w:rsidR="00621B04" w:rsidRPr="00DE2167" w:rsidRDefault="00621B04" w:rsidP="00621B04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Sikh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103D7" w14:textId="2ABD721A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E69D3">
              <w:t>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D1E9B" w14:textId="7F9F20EF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A6ED4">
              <w:t>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D47F8" w14:textId="77777777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621B04" w:rsidRPr="00E574DB" w14:paraId="1674C93C" w14:textId="77777777" w:rsidTr="00621B04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8015A" w14:textId="77777777" w:rsidR="00621B04" w:rsidRPr="00DE2167" w:rsidRDefault="00621B04" w:rsidP="00621B04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Spiritual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883F4" w14:textId="6544B4A4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E69D3">
              <w:t>0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B1291" w14:textId="47352453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A6ED4">
              <w:t>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BD486" w14:textId="77777777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621B04" w:rsidRPr="00E574DB" w14:paraId="62009C04" w14:textId="77777777" w:rsidTr="00621B04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8D140" w14:textId="77777777" w:rsidR="00621B04" w:rsidRPr="00DE2167" w:rsidRDefault="00621B04" w:rsidP="00621B04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None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603E8A" w14:textId="0EA47CF1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E69D3">
              <w:t>63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C407A" w14:textId="35014563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A6ED4">
              <w:t>61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9048E" w14:textId="12CF643E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9</w:t>
            </w:r>
            <w:r>
              <w:rPr>
                <w:rFonts w:cs="Arial"/>
                <w:color w:val="000000"/>
                <w:szCs w:val="24"/>
              </w:rPr>
              <w:t>7</w:t>
            </w:r>
            <w:r w:rsidRPr="00DE2167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621B04" w:rsidRPr="00E574DB" w14:paraId="040D3D7C" w14:textId="77777777" w:rsidTr="00621B04">
        <w:trPr>
          <w:trHeight w:hRule="exact" w:val="6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E3CE3" w14:textId="77777777" w:rsidR="00621B04" w:rsidRPr="00DE2167" w:rsidRDefault="00621B04" w:rsidP="00621B04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Other religion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2BED6" w14:textId="2E899B51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E69D3"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FE093" w14:textId="1583FA48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A6ED4"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F56AF" w14:textId="77777777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621B04" w:rsidRPr="00E574DB" w14:paraId="43CB5262" w14:textId="77777777" w:rsidTr="00621B04">
        <w:trPr>
          <w:trHeight w:hRule="exact" w:val="6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C8395" w14:textId="77777777" w:rsidR="00621B04" w:rsidRPr="00DE2167" w:rsidRDefault="00621B04" w:rsidP="00621B04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0B430" w14:textId="6FCDD764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E69D3">
              <w:t>17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D4CBB" w14:textId="4D5DBE21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A6ED4">
              <w:t>16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4A719" w14:textId="4E0F8E60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94</w:t>
            </w:r>
            <w:r w:rsidRPr="00DE2167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621B04" w:rsidRPr="00E574DB" w14:paraId="161D481B" w14:textId="77777777" w:rsidTr="00621B04">
        <w:trPr>
          <w:trHeight w:hRule="exact" w:val="318"/>
        </w:trPr>
        <w:tc>
          <w:tcPr>
            <w:tcW w:w="1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44D72" w14:textId="77777777" w:rsidR="00621B04" w:rsidRPr="00DE2167" w:rsidRDefault="00621B04" w:rsidP="00621B04">
            <w:pPr>
              <w:spacing w:line="240" w:lineRule="auto"/>
              <w:rPr>
                <w:rFonts w:cs="Arial"/>
                <w:b/>
                <w:color w:val="000000"/>
                <w:szCs w:val="24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BF212" w14:textId="4060C3F4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E69D3">
              <w:t>15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426657" w14:textId="4C4667F0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A6ED4">
              <w:t>13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B976F" w14:textId="176EADD2" w:rsidR="00621B04" w:rsidRPr="00DE2167" w:rsidRDefault="00621B04" w:rsidP="00621B04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87</w:t>
            </w:r>
            <w:r w:rsidRPr="00DE2167">
              <w:rPr>
                <w:rFonts w:cs="Arial"/>
                <w:color w:val="000000"/>
                <w:szCs w:val="24"/>
              </w:rPr>
              <w:t>%</w:t>
            </w:r>
          </w:p>
        </w:tc>
      </w:tr>
    </w:tbl>
    <w:p w14:paraId="7C63F1EC" w14:textId="77777777" w:rsidR="002742A6" w:rsidRDefault="002742A6" w:rsidP="00C12816">
      <w:pPr>
        <w:spacing w:line="360" w:lineRule="auto"/>
      </w:pPr>
    </w:p>
    <w:p w14:paraId="2144DAD4" w14:textId="77777777" w:rsidR="00E574DB" w:rsidRPr="00C12816" w:rsidRDefault="00E574DB" w:rsidP="00C12816">
      <w:pPr>
        <w:spacing w:line="360" w:lineRule="auto"/>
        <w:rPr>
          <w:b/>
          <w:szCs w:val="24"/>
        </w:rPr>
      </w:pPr>
      <w:r w:rsidRPr="00C12816">
        <w:rPr>
          <w:b/>
          <w:szCs w:val="24"/>
        </w:rPr>
        <w:t xml:space="preserve">Commentary </w:t>
      </w:r>
    </w:p>
    <w:p w14:paraId="698BC6AA" w14:textId="012FCC2F" w:rsidR="00C12816" w:rsidRDefault="002D7077" w:rsidP="00C12816">
      <w:pPr>
        <w:spacing w:line="360" w:lineRule="auto"/>
        <w:rPr>
          <w:szCs w:val="24"/>
        </w:rPr>
      </w:pPr>
      <w:r>
        <w:rPr>
          <w:szCs w:val="24"/>
        </w:rPr>
        <w:t>During the academic year 20</w:t>
      </w:r>
      <w:r w:rsidR="00621B04">
        <w:rPr>
          <w:szCs w:val="24"/>
        </w:rPr>
        <w:t>20</w:t>
      </w:r>
      <w:r>
        <w:rPr>
          <w:szCs w:val="24"/>
        </w:rPr>
        <w:t>-</w:t>
      </w:r>
      <w:r w:rsidR="006D00A6">
        <w:rPr>
          <w:szCs w:val="24"/>
        </w:rPr>
        <w:t>2</w:t>
      </w:r>
      <w:r w:rsidR="00621B04">
        <w:rPr>
          <w:szCs w:val="24"/>
        </w:rPr>
        <w:t>1</w:t>
      </w:r>
      <w:r w:rsidR="002742A6" w:rsidRPr="00E574DB">
        <w:rPr>
          <w:szCs w:val="24"/>
        </w:rPr>
        <w:t>, the success rate for academic applicant</w:t>
      </w:r>
      <w:r w:rsidR="00E574DB">
        <w:rPr>
          <w:szCs w:val="24"/>
        </w:rPr>
        <w:t>s who declared that they had no</w:t>
      </w:r>
      <w:r w:rsidR="000A4F1E">
        <w:rPr>
          <w:szCs w:val="24"/>
        </w:rPr>
        <w:t xml:space="preserve"> religion was 9</w:t>
      </w:r>
      <w:r w:rsidR="00621B04">
        <w:rPr>
          <w:szCs w:val="24"/>
        </w:rPr>
        <w:t>7</w:t>
      </w:r>
      <w:r w:rsidR="000A4F1E">
        <w:rPr>
          <w:szCs w:val="24"/>
        </w:rPr>
        <w:t>% (9</w:t>
      </w:r>
      <w:r w:rsidR="00621B04">
        <w:rPr>
          <w:szCs w:val="24"/>
        </w:rPr>
        <w:t>2</w:t>
      </w:r>
      <w:r w:rsidR="000A4F1E">
        <w:rPr>
          <w:szCs w:val="24"/>
        </w:rPr>
        <w:t>%, 201</w:t>
      </w:r>
      <w:r w:rsidR="00621B04">
        <w:rPr>
          <w:szCs w:val="24"/>
        </w:rPr>
        <w:t>9</w:t>
      </w:r>
      <w:r w:rsidR="000A4F1E">
        <w:rPr>
          <w:szCs w:val="24"/>
        </w:rPr>
        <w:t>-</w:t>
      </w:r>
      <w:r w:rsidR="00621B04">
        <w:rPr>
          <w:szCs w:val="24"/>
        </w:rPr>
        <w:t>20</w:t>
      </w:r>
      <w:r w:rsidR="002742A6" w:rsidRPr="00E574DB">
        <w:rPr>
          <w:szCs w:val="24"/>
        </w:rPr>
        <w:t xml:space="preserve">). The </w:t>
      </w:r>
      <w:r w:rsidR="00E574DB">
        <w:rPr>
          <w:szCs w:val="24"/>
        </w:rPr>
        <w:t>success rate for</w:t>
      </w:r>
      <w:r w:rsidR="002742A6" w:rsidRPr="00E574DB">
        <w:rPr>
          <w:szCs w:val="24"/>
        </w:rPr>
        <w:t xml:space="preserve"> Christian</w:t>
      </w:r>
      <w:r w:rsidR="00E574DB">
        <w:rPr>
          <w:szCs w:val="24"/>
        </w:rPr>
        <w:t xml:space="preserve"> acade</w:t>
      </w:r>
      <w:r w:rsidR="005C0878">
        <w:rPr>
          <w:szCs w:val="24"/>
        </w:rPr>
        <w:t xml:space="preserve">mic members of staff was </w:t>
      </w:r>
      <w:r w:rsidR="00621B04">
        <w:rPr>
          <w:szCs w:val="24"/>
        </w:rPr>
        <w:t>8</w:t>
      </w:r>
      <w:r w:rsidR="005C0878">
        <w:rPr>
          <w:szCs w:val="24"/>
        </w:rPr>
        <w:t>7</w:t>
      </w:r>
      <w:r w:rsidR="000A4F1E">
        <w:rPr>
          <w:szCs w:val="24"/>
        </w:rPr>
        <w:t>% (9</w:t>
      </w:r>
      <w:r w:rsidR="006D00A6">
        <w:rPr>
          <w:szCs w:val="24"/>
        </w:rPr>
        <w:t>7</w:t>
      </w:r>
      <w:r w:rsidR="000A4F1E">
        <w:rPr>
          <w:szCs w:val="24"/>
        </w:rPr>
        <w:t>%, 201</w:t>
      </w:r>
      <w:r w:rsidR="00621B04">
        <w:rPr>
          <w:szCs w:val="24"/>
        </w:rPr>
        <w:t>9</w:t>
      </w:r>
      <w:r w:rsidR="000A4F1E">
        <w:rPr>
          <w:szCs w:val="24"/>
        </w:rPr>
        <w:t>-</w:t>
      </w:r>
      <w:r w:rsidR="00621B04">
        <w:rPr>
          <w:szCs w:val="24"/>
        </w:rPr>
        <w:t>20</w:t>
      </w:r>
      <w:r w:rsidR="00E574DB">
        <w:rPr>
          <w:szCs w:val="24"/>
        </w:rPr>
        <w:t>)</w:t>
      </w:r>
      <w:r w:rsidR="000A4F1E">
        <w:rPr>
          <w:szCs w:val="24"/>
        </w:rPr>
        <w:t>. Success rates during 20</w:t>
      </w:r>
      <w:r w:rsidR="00621B04">
        <w:rPr>
          <w:szCs w:val="24"/>
        </w:rPr>
        <w:t>20</w:t>
      </w:r>
      <w:r w:rsidR="000A4F1E">
        <w:rPr>
          <w:szCs w:val="24"/>
        </w:rPr>
        <w:t>-</w:t>
      </w:r>
      <w:r w:rsidR="006D00A6">
        <w:rPr>
          <w:szCs w:val="24"/>
        </w:rPr>
        <w:t>2</w:t>
      </w:r>
      <w:r w:rsidR="00621B04">
        <w:rPr>
          <w:szCs w:val="24"/>
        </w:rPr>
        <w:t>1</w:t>
      </w:r>
      <w:r w:rsidR="00B0332B">
        <w:rPr>
          <w:szCs w:val="24"/>
        </w:rPr>
        <w:t xml:space="preserve"> for </w:t>
      </w:r>
      <w:r w:rsidR="006D00A6">
        <w:rPr>
          <w:szCs w:val="24"/>
        </w:rPr>
        <w:t xml:space="preserve">Buddhist, Hindu, </w:t>
      </w:r>
      <w:r w:rsidR="00B0332B">
        <w:rPr>
          <w:szCs w:val="24"/>
        </w:rPr>
        <w:t>Jewish and Muslim</w:t>
      </w:r>
      <w:r w:rsidR="00C459E3">
        <w:rPr>
          <w:szCs w:val="24"/>
        </w:rPr>
        <w:t xml:space="preserve"> academic staff</w:t>
      </w:r>
      <w:r w:rsidR="00B0332B">
        <w:rPr>
          <w:szCs w:val="24"/>
        </w:rPr>
        <w:t>,</w:t>
      </w:r>
      <w:r w:rsidR="00C459E3">
        <w:rPr>
          <w:szCs w:val="24"/>
        </w:rPr>
        <w:t xml:space="preserve"> and those </w:t>
      </w:r>
      <w:r w:rsidR="00C459E3">
        <w:rPr>
          <w:szCs w:val="24"/>
        </w:rPr>
        <w:lastRenderedPageBreak/>
        <w:t xml:space="preserve">who were of Other </w:t>
      </w:r>
      <w:r w:rsidR="00B0332B">
        <w:rPr>
          <w:szCs w:val="24"/>
        </w:rPr>
        <w:t xml:space="preserve">or Unknown </w:t>
      </w:r>
      <w:r w:rsidR="00C459E3">
        <w:rPr>
          <w:szCs w:val="24"/>
        </w:rPr>
        <w:t xml:space="preserve">religion </w:t>
      </w:r>
      <w:r w:rsidR="00B0332B">
        <w:rPr>
          <w:szCs w:val="24"/>
        </w:rPr>
        <w:t>were</w:t>
      </w:r>
      <w:r w:rsidR="00C459E3">
        <w:rPr>
          <w:szCs w:val="24"/>
        </w:rPr>
        <w:t xml:space="preserve"> 100%. </w:t>
      </w:r>
      <w:r w:rsidR="00A93047">
        <w:rPr>
          <w:szCs w:val="24"/>
        </w:rPr>
        <w:t xml:space="preserve">No </w:t>
      </w:r>
      <w:r w:rsidR="00B306C2">
        <w:rPr>
          <w:szCs w:val="24"/>
        </w:rPr>
        <w:t>Sikh</w:t>
      </w:r>
      <w:r w:rsidR="00C459E3">
        <w:rPr>
          <w:szCs w:val="24"/>
        </w:rPr>
        <w:t xml:space="preserve"> </w:t>
      </w:r>
      <w:r w:rsidR="006D00A6">
        <w:rPr>
          <w:szCs w:val="24"/>
        </w:rPr>
        <w:t xml:space="preserve">or Spiritual </w:t>
      </w:r>
      <w:r w:rsidR="00C459E3">
        <w:rPr>
          <w:szCs w:val="24"/>
        </w:rPr>
        <w:t xml:space="preserve">academic staff members submitted </w:t>
      </w:r>
      <w:r w:rsidR="000174C7">
        <w:rPr>
          <w:szCs w:val="24"/>
        </w:rPr>
        <w:t xml:space="preserve">a </w:t>
      </w:r>
      <w:r w:rsidR="00C459E3">
        <w:rPr>
          <w:szCs w:val="24"/>
        </w:rPr>
        <w:t>p</w:t>
      </w:r>
      <w:r w:rsidR="000E716A">
        <w:rPr>
          <w:szCs w:val="24"/>
        </w:rPr>
        <w:t>romotion application during 20</w:t>
      </w:r>
      <w:r w:rsidR="00621B04">
        <w:rPr>
          <w:szCs w:val="24"/>
        </w:rPr>
        <w:t>20</w:t>
      </w:r>
      <w:r w:rsidR="000E716A">
        <w:rPr>
          <w:szCs w:val="24"/>
        </w:rPr>
        <w:t>-</w:t>
      </w:r>
      <w:r w:rsidR="0027016A">
        <w:rPr>
          <w:szCs w:val="24"/>
        </w:rPr>
        <w:t>2</w:t>
      </w:r>
      <w:r w:rsidR="00621B04">
        <w:rPr>
          <w:szCs w:val="24"/>
        </w:rPr>
        <w:t>1</w:t>
      </w:r>
      <w:r w:rsidR="00C459E3">
        <w:rPr>
          <w:szCs w:val="24"/>
        </w:rPr>
        <w:t>. Whilst data ha</w:t>
      </w:r>
      <w:r w:rsidR="0099222B">
        <w:rPr>
          <w:szCs w:val="24"/>
        </w:rPr>
        <w:t>ve</w:t>
      </w:r>
      <w:r w:rsidR="00C459E3">
        <w:rPr>
          <w:szCs w:val="24"/>
        </w:rPr>
        <w:t xml:space="preserve"> been provided for transparency, it should be noted that due to low numbers in some categories, it </w:t>
      </w:r>
      <w:r w:rsidR="004C4361">
        <w:rPr>
          <w:szCs w:val="24"/>
        </w:rPr>
        <w:t>may be</w:t>
      </w:r>
      <w:r w:rsidR="00C459E3">
        <w:rPr>
          <w:szCs w:val="24"/>
        </w:rPr>
        <w:t xml:space="preserve"> difficult to </w:t>
      </w:r>
      <w:r w:rsidR="000D2A84">
        <w:rPr>
          <w:szCs w:val="24"/>
        </w:rPr>
        <w:t>drawn meaningful conclusions</w:t>
      </w:r>
      <w:r w:rsidR="004C4361">
        <w:rPr>
          <w:szCs w:val="24"/>
        </w:rPr>
        <w:t>,</w:t>
      </w:r>
      <w:r w:rsidR="000D2A84">
        <w:rPr>
          <w:szCs w:val="24"/>
        </w:rPr>
        <w:t xml:space="preserve"> in particular when </w:t>
      </w:r>
      <w:r w:rsidR="00AF694E">
        <w:rPr>
          <w:szCs w:val="24"/>
        </w:rPr>
        <w:t xml:space="preserve">comparing </w:t>
      </w:r>
      <w:r w:rsidR="000D2A84">
        <w:rPr>
          <w:szCs w:val="24"/>
        </w:rPr>
        <w:t>against previous years.</w:t>
      </w:r>
    </w:p>
    <w:p w14:paraId="325144D2" w14:textId="77777777" w:rsidR="00C12816" w:rsidRPr="00511B40" w:rsidRDefault="00C12816" w:rsidP="00C12816">
      <w:pPr>
        <w:spacing w:line="360" w:lineRule="auto"/>
      </w:pPr>
      <w:r w:rsidRPr="00511B40">
        <w:t xml:space="preserve"> </w:t>
      </w:r>
    </w:p>
    <w:p w14:paraId="72C9F6B1" w14:textId="77777777" w:rsidR="00DE7B58" w:rsidRPr="00DA38E7" w:rsidRDefault="00DE7B58" w:rsidP="00C12816">
      <w:pPr>
        <w:pStyle w:val="Heading3"/>
      </w:pPr>
      <w:bookmarkStart w:id="8" w:name="_Toc56593218"/>
      <w:r w:rsidRPr="00DA38E7">
        <w:t>Sexual Orientation</w:t>
      </w:r>
      <w:bookmarkEnd w:id="8"/>
      <w:r w:rsidRPr="00DA38E7">
        <w:t xml:space="preserve"> </w:t>
      </w:r>
    </w:p>
    <w:tbl>
      <w:tblPr>
        <w:tblW w:w="4503" w:type="pct"/>
        <w:tblInd w:w="450" w:type="dxa"/>
        <w:tblLayout w:type="fixed"/>
        <w:tblLook w:val="04A0" w:firstRow="1" w:lastRow="0" w:firstColumn="1" w:lastColumn="0" w:noHBand="0" w:noVBand="1"/>
        <w:tblCaption w:val="Academic Staff Promotions by Sexual Orientation (Up to &amp; including Grade 9)"/>
        <w:tblDescription w:val="Table showing the number and percentage of successful and unsuccessful academic staff promotions by sexual orientation in 2018-19. Categories include bisexual, gay man, game woman/lesbian, heterosexual, other, prefer not to answer and unknown."/>
      </w:tblPr>
      <w:tblGrid>
        <w:gridCol w:w="2890"/>
        <w:gridCol w:w="1626"/>
        <w:gridCol w:w="1803"/>
        <w:gridCol w:w="1801"/>
      </w:tblGrid>
      <w:tr w:rsidR="00621B04" w:rsidRPr="007B001E" w14:paraId="0F49B6F5" w14:textId="77777777" w:rsidTr="00C617B8">
        <w:trPr>
          <w:trHeight w:val="60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9CC4D" w14:textId="77777777" w:rsidR="00621B04" w:rsidRPr="00DE2167" w:rsidRDefault="00621B04" w:rsidP="00DE216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</w:p>
          <w:p w14:paraId="17EF844F" w14:textId="77777777" w:rsidR="00621B04" w:rsidRPr="00DE2167" w:rsidRDefault="00621B04" w:rsidP="00DE216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9879" w14:textId="77777777" w:rsidR="00621B04" w:rsidRPr="00DE2167" w:rsidRDefault="00621B04" w:rsidP="00DE216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Number of applications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48A1" w14:textId="77777777" w:rsidR="00621B04" w:rsidRPr="00DE2167" w:rsidRDefault="00621B04" w:rsidP="00DE216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Successful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D1A6" w14:textId="77777777" w:rsidR="00621B04" w:rsidRPr="00DE2167" w:rsidRDefault="00621B04" w:rsidP="00DE216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Successful</w:t>
            </w:r>
          </w:p>
        </w:tc>
      </w:tr>
      <w:tr w:rsidR="00621B04" w:rsidRPr="007B001E" w14:paraId="56F25143" w14:textId="77777777" w:rsidTr="00C617B8">
        <w:trPr>
          <w:trHeight w:val="305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C8CFA" w14:textId="77777777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Bisexual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92099" w14:textId="04A1E0DB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4547F">
              <w:t>1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455E3" w14:textId="419EBB26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02AAE">
              <w:t>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BB241" w14:textId="4C390E83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61408">
              <w:t>100%</w:t>
            </w:r>
          </w:p>
        </w:tc>
      </w:tr>
      <w:tr w:rsidR="00621B04" w:rsidRPr="007B001E" w14:paraId="504E770E" w14:textId="77777777" w:rsidTr="00C617B8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45587" w14:textId="77777777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Gay man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1DBE1" w14:textId="025855BD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4547F">
              <w:t>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D3DA6" w14:textId="6D956DB4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02AAE">
              <w:t>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7C286" w14:textId="32F1D343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61408">
              <w:t>80%</w:t>
            </w:r>
          </w:p>
        </w:tc>
      </w:tr>
      <w:tr w:rsidR="00621B04" w:rsidRPr="007B001E" w14:paraId="38CCA54B" w14:textId="77777777" w:rsidTr="00C617B8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A2EE6" w14:textId="77777777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Gay woman/lesbian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60D16" w14:textId="0801C684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4547F"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0F59D" w14:textId="3EDD58B9" w:rsidR="00621B04" w:rsidRPr="00DE2167" w:rsidRDefault="00C617B8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261BE" w14:textId="757C5BDE" w:rsidR="00621B04" w:rsidRPr="00DE2167" w:rsidRDefault="00C617B8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-</w:t>
            </w:r>
          </w:p>
        </w:tc>
      </w:tr>
      <w:tr w:rsidR="00621B04" w:rsidRPr="007B001E" w14:paraId="47B05101" w14:textId="77777777" w:rsidTr="00C617B8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DFDF9" w14:textId="77777777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Heterosexual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4F71F" w14:textId="19BE9E25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4547F">
              <w:t>95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94CE8" w14:textId="0228846B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02AAE">
              <w:t>90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82FD7" w14:textId="598E5C82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61408">
              <w:t>95%</w:t>
            </w:r>
          </w:p>
        </w:tc>
      </w:tr>
      <w:tr w:rsidR="00621B04" w:rsidRPr="007B001E" w14:paraId="4FD4E19B" w14:textId="77777777" w:rsidTr="00C617B8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205D9E" w14:textId="77777777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B45076" w14:textId="7C7C58B3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4547F">
              <w:t>2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7FA572" w14:textId="4DF2CC4F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02AAE">
              <w:t>2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E6566" w14:textId="55518A7B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61408">
              <w:t>100%</w:t>
            </w:r>
          </w:p>
        </w:tc>
      </w:tr>
      <w:tr w:rsidR="00621B04" w:rsidRPr="007B001E" w14:paraId="0260ABB1" w14:textId="77777777" w:rsidTr="00C617B8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FD259" w14:textId="77777777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56E69" w14:textId="13561552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4547F">
              <w:t>20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96FF6" w14:textId="48127DCD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02AAE">
              <w:t>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1CEA1" w14:textId="3F0174C4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61408">
              <w:t>95%</w:t>
            </w:r>
          </w:p>
        </w:tc>
      </w:tr>
      <w:tr w:rsidR="00621B04" w:rsidRPr="007B001E" w14:paraId="1610C32C" w14:textId="77777777" w:rsidTr="00C617B8">
        <w:trPr>
          <w:trHeight w:val="300"/>
        </w:trPr>
        <w:tc>
          <w:tcPr>
            <w:tcW w:w="1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7576D" w14:textId="77777777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1DE4C" w14:textId="10F87B0F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34547F">
              <w:t>16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9D117" w14:textId="71CD7913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02AAE">
              <w:t>14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DB1F5" w14:textId="565DECC0" w:rsidR="00621B04" w:rsidRPr="00DE2167" w:rsidRDefault="00621B04" w:rsidP="00C617B8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61408">
              <w:t>88%</w:t>
            </w:r>
          </w:p>
        </w:tc>
      </w:tr>
    </w:tbl>
    <w:p w14:paraId="1C1C272F" w14:textId="77777777" w:rsidR="007B001E" w:rsidRDefault="007B001E" w:rsidP="00C12816">
      <w:pPr>
        <w:spacing w:line="360" w:lineRule="auto"/>
      </w:pPr>
    </w:p>
    <w:p w14:paraId="7F17F263" w14:textId="77777777" w:rsidR="000111F6" w:rsidRPr="00C12816" w:rsidRDefault="000111F6" w:rsidP="00C12816">
      <w:pPr>
        <w:spacing w:line="360" w:lineRule="auto"/>
        <w:rPr>
          <w:b/>
          <w:szCs w:val="24"/>
        </w:rPr>
      </w:pPr>
      <w:r w:rsidRPr="00C12816">
        <w:rPr>
          <w:b/>
          <w:szCs w:val="24"/>
        </w:rPr>
        <w:t xml:space="preserve">Commentary </w:t>
      </w:r>
    </w:p>
    <w:p w14:paraId="54BAC8A2" w14:textId="72A56D7E" w:rsidR="00C12816" w:rsidRDefault="000111F6" w:rsidP="00C12816">
      <w:pPr>
        <w:spacing w:line="360" w:lineRule="auto"/>
        <w:rPr>
          <w:szCs w:val="24"/>
        </w:rPr>
      </w:pPr>
      <w:r>
        <w:rPr>
          <w:szCs w:val="24"/>
        </w:rPr>
        <w:t>During the 20</w:t>
      </w:r>
      <w:r w:rsidR="00C617B8">
        <w:rPr>
          <w:szCs w:val="24"/>
        </w:rPr>
        <w:t>20</w:t>
      </w:r>
      <w:r w:rsidR="003406FC">
        <w:rPr>
          <w:szCs w:val="24"/>
        </w:rPr>
        <w:t>-</w:t>
      </w:r>
      <w:r w:rsidR="00656FD9">
        <w:rPr>
          <w:szCs w:val="24"/>
        </w:rPr>
        <w:t>2</w:t>
      </w:r>
      <w:r w:rsidR="00C617B8">
        <w:rPr>
          <w:szCs w:val="24"/>
        </w:rPr>
        <w:t>1</w:t>
      </w:r>
      <w:r w:rsidR="006C6CAC">
        <w:rPr>
          <w:szCs w:val="24"/>
        </w:rPr>
        <w:t xml:space="preserve"> academic year 9</w:t>
      </w:r>
      <w:r w:rsidR="00C617B8">
        <w:rPr>
          <w:szCs w:val="24"/>
        </w:rPr>
        <w:t>5</w:t>
      </w:r>
      <w:r>
        <w:rPr>
          <w:szCs w:val="24"/>
        </w:rPr>
        <w:t>% of academic promo</w:t>
      </w:r>
      <w:r w:rsidR="006C6CAC">
        <w:rPr>
          <w:szCs w:val="24"/>
        </w:rPr>
        <w:t xml:space="preserve">tion applications from </w:t>
      </w:r>
      <w:r>
        <w:rPr>
          <w:szCs w:val="24"/>
        </w:rPr>
        <w:t>heterosexual members of staff</w:t>
      </w:r>
      <w:r w:rsidR="006C6CAC">
        <w:rPr>
          <w:szCs w:val="24"/>
        </w:rPr>
        <w:t xml:space="preserve"> were successful (</w:t>
      </w:r>
      <w:r w:rsidR="003423F9">
        <w:rPr>
          <w:szCs w:val="24"/>
        </w:rPr>
        <w:t>9</w:t>
      </w:r>
      <w:r w:rsidR="00C617B8">
        <w:rPr>
          <w:szCs w:val="24"/>
        </w:rPr>
        <w:t>4</w:t>
      </w:r>
      <w:r w:rsidR="006C6CAC">
        <w:rPr>
          <w:szCs w:val="24"/>
        </w:rPr>
        <w:t>%, 201</w:t>
      </w:r>
      <w:r w:rsidR="00C617B8">
        <w:rPr>
          <w:szCs w:val="24"/>
        </w:rPr>
        <w:t>9</w:t>
      </w:r>
      <w:r w:rsidR="006C6CAC">
        <w:rPr>
          <w:szCs w:val="24"/>
        </w:rPr>
        <w:t>-</w:t>
      </w:r>
      <w:r w:rsidR="00C617B8">
        <w:rPr>
          <w:szCs w:val="24"/>
        </w:rPr>
        <w:t>20</w:t>
      </w:r>
      <w:r w:rsidR="003423F9">
        <w:rPr>
          <w:szCs w:val="24"/>
        </w:rPr>
        <w:t>).</w:t>
      </w:r>
      <w:r w:rsidR="00C617B8">
        <w:rPr>
          <w:szCs w:val="24"/>
        </w:rPr>
        <w:t xml:space="preserve"> </w:t>
      </w:r>
      <w:proofErr w:type="gramStart"/>
      <w:r w:rsidR="003423F9">
        <w:rPr>
          <w:szCs w:val="24"/>
        </w:rPr>
        <w:t>The</w:t>
      </w:r>
      <w:proofErr w:type="gramEnd"/>
      <w:r w:rsidR="003423F9">
        <w:rPr>
          <w:szCs w:val="24"/>
        </w:rPr>
        <w:t xml:space="preserve"> success rate for bisexual members </w:t>
      </w:r>
      <w:r w:rsidR="00024913">
        <w:rPr>
          <w:szCs w:val="24"/>
        </w:rPr>
        <w:t xml:space="preserve">of academic staff </w:t>
      </w:r>
      <w:r w:rsidR="000E11A8">
        <w:rPr>
          <w:szCs w:val="24"/>
        </w:rPr>
        <w:t>w</w:t>
      </w:r>
      <w:r w:rsidR="00C617B8">
        <w:rPr>
          <w:szCs w:val="24"/>
        </w:rPr>
        <w:t>as 100% (80% last year) but based on one individual. The success rate for gay men was 80% (</w:t>
      </w:r>
      <w:r w:rsidR="000E11A8">
        <w:rPr>
          <w:szCs w:val="24"/>
        </w:rPr>
        <w:t>100%</w:t>
      </w:r>
      <w:r w:rsidR="00C617B8">
        <w:rPr>
          <w:szCs w:val="24"/>
        </w:rPr>
        <w:t xml:space="preserve"> last year). There were no applications from gay women/lesbian staff this year</w:t>
      </w:r>
      <w:r w:rsidR="003423F9">
        <w:rPr>
          <w:szCs w:val="24"/>
        </w:rPr>
        <w:t>. Whilst data ha</w:t>
      </w:r>
      <w:r w:rsidR="00024913">
        <w:rPr>
          <w:szCs w:val="24"/>
        </w:rPr>
        <w:t>ve</w:t>
      </w:r>
      <w:r w:rsidR="003423F9">
        <w:rPr>
          <w:szCs w:val="24"/>
        </w:rPr>
        <w:t xml:space="preserve"> been provided for transparency, it should be noted that due to low numbers in some categories, it </w:t>
      </w:r>
      <w:r w:rsidR="00FB767F">
        <w:rPr>
          <w:szCs w:val="24"/>
        </w:rPr>
        <w:t>may be</w:t>
      </w:r>
      <w:r w:rsidR="003423F9">
        <w:rPr>
          <w:szCs w:val="24"/>
        </w:rPr>
        <w:t xml:space="preserve"> difficult to draw meaningful conclusions</w:t>
      </w:r>
      <w:r w:rsidR="00FB767F">
        <w:rPr>
          <w:szCs w:val="24"/>
        </w:rPr>
        <w:t>,</w:t>
      </w:r>
      <w:r w:rsidR="003423F9">
        <w:rPr>
          <w:szCs w:val="24"/>
        </w:rPr>
        <w:t xml:space="preserve"> in particular when </w:t>
      </w:r>
      <w:r w:rsidR="00FB767F">
        <w:rPr>
          <w:szCs w:val="24"/>
        </w:rPr>
        <w:t>compar</w:t>
      </w:r>
      <w:r w:rsidR="003423F9">
        <w:rPr>
          <w:szCs w:val="24"/>
        </w:rPr>
        <w:t>ing against previous years.</w:t>
      </w:r>
    </w:p>
    <w:p w14:paraId="1CAFD4AE" w14:textId="77777777" w:rsidR="00D41FC4" w:rsidRPr="00511B40" w:rsidRDefault="00C12816" w:rsidP="00C12816">
      <w:pPr>
        <w:spacing w:line="360" w:lineRule="auto"/>
      </w:pPr>
      <w:r w:rsidRPr="00511B40">
        <w:t xml:space="preserve"> </w:t>
      </w:r>
    </w:p>
    <w:p w14:paraId="207EEB48" w14:textId="77777777" w:rsidR="00D52756" w:rsidRDefault="00D52756">
      <w:pPr>
        <w:spacing w:after="200"/>
        <w:rPr>
          <w:rFonts w:eastAsiaTheme="majorEastAsia" w:cstheme="majorBidi"/>
          <w:b/>
          <w:sz w:val="32"/>
          <w:szCs w:val="26"/>
        </w:rPr>
      </w:pPr>
      <w:bookmarkStart w:id="9" w:name="_Toc56593219"/>
      <w:r>
        <w:br w:type="page"/>
      </w:r>
    </w:p>
    <w:p w14:paraId="4014FB5A" w14:textId="77777777" w:rsidR="00D41FC4" w:rsidRDefault="00D41FC4" w:rsidP="00C12816">
      <w:pPr>
        <w:pStyle w:val="Heading2"/>
      </w:pPr>
      <w:r w:rsidRPr="000F7226">
        <w:lastRenderedPageBreak/>
        <w:t>Grade 10</w:t>
      </w:r>
      <w:r w:rsidRPr="000F7226">
        <w:rPr>
          <w:rStyle w:val="FootnoteReference"/>
          <w:rFonts w:cs="Arial"/>
          <w:b w:val="0"/>
          <w:color w:val="17365D" w:themeColor="text2" w:themeShade="BF"/>
          <w:szCs w:val="32"/>
          <w:u w:val="single"/>
        </w:rPr>
        <w:footnoteReference w:id="3"/>
      </w:r>
      <w:bookmarkEnd w:id="9"/>
    </w:p>
    <w:p w14:paraId="7FFB8F7F" w14:textId="18748F77" w:rsidR="000F7226" w:rsidRDefault="000F7226" w:rsidP="00C12816">
      <w:pPr>
        <w:spacing w:line="360" w:lineRule="auto"/>
        <w:rPr>
          <w:rFonts w:cs="Arial"/>
          <w:b/>
          <w:szCs w:val="24"/>
        </w:rPr>
      </w:pPr>
      <w:r w:rsidRPr="005E766F">
        <w:rPr>
          <w:rFonts w:cs="Arial"/>
          <w:szCs w:val="24"/>
        </w:rPr>
        <w:t xml:space="preserve">A total of </w:t>
      </w:r>
      <w:r w:rsidR="00C40BFD">
        <w:rPr>
          <w:rFonts w:cs="Arial"/>
          <w:szCs w:val="24"/>
        </w:rPr>
        <w:t>37</w:t>
      </w:r>
      <w:r w:rsidRPr="005E766F">
        <w:rPr>
          <w:rFonts w:cs="Arial"/>
          <w:szCs w:val="24"/>
        </w:rPr>
        <w:t xml:space="preserve"> applications for promotion </w:t>
      </w:r>
      <w:r w:rsidR="003578BA">
        <w:rPr>
          <w:rFonts w:cs="Arial"/>
          <w:szCs w:val="24"/>
        </w:rPr>
        <w:t>to grade 10</w:t>
      </w:r>
      <w:r w:rsidRPr="005E766F">
        <w:rPr>
          <w:rFonts w:cs="Arial"/>
          <w:szCs w:val="24"/>
        </w:rPr>
        <w:t xml:space="preserve"> were ma</w:t>
      </w:r>
      <w:r w:rsidR="00024913">
        <w:rPr>
          <w:rFonts w:cs="Arial"/>
          <w:szCs w:val="24"/>
        </w:rPr>
        <w:t>de by academic staff during 20</w:t>
      </w:r>
      <w:r w:rsidR="00C40BFD">
        <w:rPr>
          <w:rFonts w:cs="Arial"/>
          <w:szCs w:val="24"/>
        </w:rPr>
        <w:t>20</w:t>
      </w:r>
      <w:r w:rsidRPr="005E766F">
        <w:rPr>
          <w:rFonts w:cs="Arial"/>
          <w:szCs w:val="24"/>
        </w:rPr>
        <w:t>-</w:t>
      </w:r>
      <w:r w:rsidR="00240AC8">
        <w:rPr>
          <w:rFonts w:cs="Arial"/>
          <w:szCs w:val="24"/>
        </w:rPr>
        <w:t>2</w:t>
      </w:r>
      <w:r w:rsidR="00C40BFD">
        <w:rPr>
          <w:rFonts w:cs="Arial"/>
          <w:szCs w:val="24"/>
        </w:rPr>
        <w:t>1 (27 in 2019-20)</w:t>
      </w:r>
      <w:r w:rsidRPr="005E766F">
        <w:rPr>
          <w:rFonts w:cs="Arial"/>
          <w:szCs w:val="24"/>
        </w:rPr>
        <w:t xml:space="preserve">. Of these </w:t>
      </w:r>
      <w:r w:rsidR="00C40BFD">
        <w:rPr>
          <w:rFonts w:cs="Arial"/>
          <w:szCs w:val="24"/>
        </w:rPr>
        <w:t>36</w:t>
      </w:r>
      <w:r w:rsidR="00024913">
        <w:rPr>
          <w:rFonts w:cs="Arial"/>
          <w:szCs w:val="24"/>
        </w:rPr>
        <w:t xml:space="preserve"> (</w:t>
      </w:r>
      <w:r w:rsidR="002E2D08">
        <w:rPr>
          <w:rFonts w:cs="Arial"/>
          <w:szCs w:val="24"/>
        </w:rPr>
        <w:t>97</w:t>
      </w:r>
      <w:r w:rsidR="00024913">
        <w:rPr>
          <w:rFonts w:cs="Arial"/>
          <w:szCs w:val="24"/>
        </w:rPr>
        <w:t>%)</w:t>
      </w:r>
      <w:r w:rsidRPr="005E766F">
        <w:rPr>
          <w:rFonts w:cs="Arial"/>
          <w:szCs w:val="24"/>
        </w:rPr>
        <w:t xml:space="preserve"> were successful</w:t>
      </w:r>
      <w:r w:rsidR="002E2D08">
        <w:rPr>
          <w:rFonts w:cs="Arial"/>
          <w:szCs w:val="24"/>
        </w:rPr>
        <w:t xml:space="preserve"> (89% last year)</w:t>
      </w:r>
      <w:r w:rsidRPr="005E766F">
        <w:rPr>
          <w:rFonts w:cs="Arial"/>
          <w:szCs w:val="24"/>
        </w:rPr>
        <w:t xml:space="preserve">. </w:t>
      </w:r>
    </w:p>
    <w:p w14:paraId="70BCF93D" w14:textId="77777777" w:rsidR="00B66586" w:rsidRDefault="00B66586" w:rsidP="00C12816">
      <w:pPr>
        <w:spacing w:line="360" w:lineRule="auto"/>
      </w:pPr>
    </w:p>
    <w:p w14:paraId="1CB28DFA" w14:textId="77777777" w:rsidR="00B66586" w:rsidRDefault="00B66586" w:rsidP="00C12816">
      <w:pPr>
        <w:spacing w:line="360" w:lineRule="auto"/>
        <w:rPr>
          <w:rFonts w:cs="Arial"/>
          <w:szCs w:val="24"/>
        </w:rPr>
      </w:pPr>
      <w:r w:rsidRPr="00B66586">
        <w:rPr>
          <w:rFonts w:cs="Arial"/>
          <w:szCs w:val="24"/>
        </w:rPr>
        <w:t>Due to the low number of applications for promotion to grade 10, it is only possible to present meaningful promotions data to this grade by gender</w:t>
      </w:r>
      <w:r w:rsidR="00192A22">
        <w:rPr>
          <w:rFonts w:cs="Arial"/>
          <w:szCs w:val="24"/>
        </w:rPr>
        <w:t>.</w:t>
      </w:r>
    </w:p>
    <w:p w14:paraId="08FD6A31" w14:textId="77777777" w:rsidR="00C12816" w:rsidRPr="00B66586" w:rsidRDefault="00C12816" w:rsidP="00C12816">
      <w:pPr>
        <w:spacing w:line="360" w:lineRule="auto"/>
        <w:rPr>
          <w:rFonts w:cs="Arial"/>
          <w:szCs w:val="24"/>
        </w:rPr>
      </w:pPr>
    </w:p>
    <w:p w14:paraId="7CDFA061" w14:textId="77777777" w:rsidR="009E41ED" w:rsidRPr="00B66586" w:rsidRDefault="00887C57" w:rsidP="00C12816">
      <w:pPr>
        <w:pStyle w:val="Heading3"/>
      </w:pPr>
      <w:bookmarkStart w:id="10" w:name="_Toc56593220"/>
      <w:r w:rsidRPr="00B66586">
        <w:t>G</w:t>
      </w:r>
      <w:r w:rsidR="009E41ED" w:rsidRPr="00B66586">
        <w:t>ender</w:t>
      </w:r>
      <w:bookmarkEnd w:id="10"/>
      <w:r w:rsidR="009E41ED" w:rsidRPr="00B66586">
        <w:t xml:space="preserve">  </w:t>
      </w:r>
    </w:p>
    <w:tbl>
      <w:tblPr>
        <w:tblW w:w="4000" w:type="pct"/>
        <w:tblInd w:w="903" w:type="dxa"/>
        <w:tblLayout w:type="fixed"/>
        <w:tblLook w:val="04A0" w:firstRow="1" w:lastRow="0" w:firstColumn="1" w:lastColumn="0" w:noHBand="0" w:noVBand="1"/>
        <w:tblCaption w:val="Academic Staff Promotions by Gender (Grade 10)"/>
        <w:tblDescription w:val="Table showing the number and percentage of academic staff promotions by gender in 2018-19. Categories include female and male."/>
      </w:tblPr>
      <w:tblGrid>
        <w:gridCol w:w="1803"/>
        <w:gridCol w:w="1801"/>
        <w:gridCol w:w="1801"/>
        <w:gridCol w:w="1800"/>
      </w:tblGrid>
      <w:tr w:rsidR="002E2D08" w:rsidRPr="00C9685F" w14:paraId="1AA3A2CF" w14:textId="77777777" w:rsidTr="002E2D08">
        <w:trPr>
          <w:trHeight w:val="315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8AD7D" w14:textId="77777777" w:rsidR="002E2D08" w:rsidRPr="00C9685F" w:rsidRDefault="002E2D08" w:rsidP="00C12816">
            <w:pPr>
              <w:spacing w:line="360" w:lineRule="auto"/>
              <w:jc w:val="center"/>
              <w:rPr>
                <w:rFonts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45ED1" w14:textId="77777777" w:rsidR="002E2D08" w:rsidRPr="00C9685F" w:rsidRDefault="002E2D08" w:rsidP="00C1281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9685F">
              <w:rPr>
                <w:rFonts w:eastAsia="Times New Roman" w:cs="Arial"/>
                <w:b/>
                <w:bCs/>
                <w:color w:val="000000"/>
                <w:lang w:eastAsia="en-GB"/>
              </w:rPr>
              <w:t>Number of applications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6398F" w14:textId="77777777" w:rsidR="002E2D08" w:rsidRPr="00C9685F" w:rsidRDefault="002E2D08" w:rsidP="00C1281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9685F">
              <w:rPr>
                <w:rFonts w:eastAsia="Times New Roman" w:cs="Arial"/>
                <w:b/>
                <w:bCs/>
                <w:color w:val="000000"/>
                <w:lang w:eastAsia="en-GB"/>
              </w:rPr>
              <w:t>Successful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CD928" w14:textId="77777777" w:rsidR="002E2D08" w:rsidRPr="00C9685F" w:rsidRDefault="002E2D08" w:rsidP="00C1281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9685F">
              <w:rPr>
                <w:rFonts w:eastAsia="Times New Roman" w:cs="Arial"/>
                <w:b/>
                <w:bCs/>
                <w:color w:val="000000"/>
                <w:lang w:eastAsia="en-GB"/>
              </w:rPr>
              <w:t>% Successful</w:t>
            </w:r>
          </w:p>
        </w:tc>
      </w:tr>
      <w:tr w:rsidR="002E2D08" w:rsidRPr="00C9685F" w14:paraId="03B74D6F" w14:textId="77777777" w:rsidTr="002E2D08">
        <w:trPr>
          <w:trHeight w:val="31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9A4E3" w14:textId="77777777" w:rsidR="002E2D08" w:rsidRPr="00DE2167" w:rsidRDefault="002E2D08" w:rsidP="00892CE7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Female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74919" w14:textId="2D4B992F" w:rsidR="002E2D08" w:rsidRPr="00DE2167" w:rsidRDefault="002E2D08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2BF323" w14:textId="1902F04F" w:rsidR="002E2D08" w:rsidRPr="00DE2167" w:rsidRDefault="002E2D08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5179A" w14:textId="77777777" w:rsidR="002E2D08" w:rsidRPr="00DE2167" w:rsidRDefault="002E2D08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2E2D08" w:rsidRPr="00C9685F" w14:paraId="4107C9AA" w14:textId="77777777" w:rsidTr="002E2D08">
        <w:trPr>
          <w:trHeight w:val="31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250AD" w14:textId="77777777" w:rsidR="002E2D08" w:rsidRPr="00DE2167" w:rsidRDefault="002E2D08" w:rsidP="00892CE7">
            <w:pPr>
              <w:spacing w:line="36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DE2167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7DBCEA" w14:textId="6ACBAC1C" w:rsidR="002E2D08" w:rsidRPr="00DE2167" w:rsidRDefault="002E2D08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E2167">
              <w:rPr>
                <w:rFonts w:cs="Arial"/>
                <w:color w:val="000000"/>
                <w:szCs w:val="24"/>
              </w:rPr>
              <w:t>2</w:t>
            </w:r>
            <w:r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C51C19" w14:textId="3CDF4F83" w:rsidR="002E2D08" w:rsidRPr="00DE2167" w:rsidRDefault="002E2D08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23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E032BF" w14:textId="67D4ED15" w:rsidR="002E2D08" w:rsidRPr="00DE2167" w:rsidRDefault="002E2D08" w:rsidP="00892CE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96</w:t>
            </w:r>
            <w:r w:rsidRPr="00DE2167">
              <w:rPr>
                <w:rFonts w:cs="Arial"/>
                <w:color w:val="000000"/>
                <w:szCs w:val="24"/>
              </w:rPr>
              <w:t>%</w:t>
            </w:r>
          </w:p>
        </w:tc>
      </w:tr>
    </w:tbl>
    <w:p w14:paraId="62D05765" w14:textId="77777777" w:rsidR="00C9685F" w:rsidRPr="00511B40" w:rsidRDefault="00C9685F" w:rsidP="00C12816">
      <w:pPr>
        <w:spacing w:line="360" w:lineRule="auto"/>
        <w:rPr>
          <w:rFonts w:cs="Arial"/>
        </w:rPr>
      </w:pPr>
    </w:p>
    <w:p w14:paraId="6DB5B952" w14:textId="77777777" w:rsidR="00AA232F" w:rsidRPr="00C12816" w:rsidRDefault="00AA232F" w:rsidP="00C12816">
      <w:pPr>
        <w:rPr>
          <w:b/>
        </w:rPr>
      </w:pPr>
      <w:r w:rsidRPr="00C12816">
        <w:rPr>
          <w:b/>
        </w:rPr>
        <w:t>Commentary</w:t>
      </w:r>
    </w:p>
    <w:p w14:paraId="06CC7B6C" w14:textId="0E515A0E" w:rsidR="008052B6" w:rsidRPr="00511B40" w:rsidRDefault="00F636AB" w:rsidP="00C12816">
      <w:pPr>
        <w:spacing w:line="360" w:lineRule="auto"/>
        <w:ind w:right="379"/>
        <w:rPr>
          <w:rFonts w:cs="Arial"/>
        </w:rPr>
      </w:pPr>
      <w:r>
        <w:rPr>
          <w:rFonts w:cs="Arial"/>
          <w:szCs w:val="24"/>
        </w:rPr>
        <w:t xml:space="preserve">There were </w:t>
      </w:r>
      <w:r w:rsidR="002E2D08">
        <w:rPr>
          <w:rFonts w:cs="Arial"/>
          <w:szCs w:val="24"/>
        </w:rPr>
        <w:t>13</w:t>
      </w:r>
      <w:r w:rsidR="00AA232F" w:rsidRPr="00F161D1">
        <w:rPr>
          <w:rFonts w:cs="Arial"/>
          <w:szCs w:val="24"/>
        </w:rPr>
        <w:t xml:space="preserve"> applications made by </w:t>
      </w:r>
      <w:r w:rsidR="00B66586" w:rsidRPr="00F161D1">
        <w:rPr>
          <w:rFonts w:cs="Arial"/>
          <w:szCs w:val="24"/>
        </w:rPr>
        <w:t xml:space="preserve">female </w:t>
      </w:r>
      <w:r w:rsidR="003751ED">
        <w:rPr>
          <w:rFonts w:cs="Arial"/>
          <w:szCs w:val="24"/>
        </w:rPr>
        <w:t xml:space="preserve">academic staff during </w:t>
      </w:r>
      <w:r w:rsidR="002E2D08">
        <w:rPr>
          <w:rFonts w:cs="Arial"/>
          <w:szCs w:val="24"/>
        </w:rPr>
        <w:t xml:space="preserve">(7 in </w:t>
      </w:r>
      <w:r w:rsidR="003751ED">
        <w:rPr>
          <w:rFonts w:cs="Arial"/>
          <w:szCs w:val="24"/>
        </w:rPr>
        <w:t>2019-20</w:t>
      </w:r>
      <w:r w:rsidR="002E2D08">
        <w:rPr>
          <w:rFonts w:cs="Arial"/>
          <w:szCs w:val="24"/>
        </w:rPr>
        <w:t>)</w:t>
      </w:r>
      <w:r w:rsidR="005575A5">
        <w:rPr>
          <w:rFonts w:cs="Arial"/>
          <w:szCs w:val="24"/>
        </w:rPr>
        <w:t>,</w:t>
      </w:r>
      <w:r w:rsidR="00BC24A9" w:rsidRPr="00F161D1">
        <w:rPr>
          <w:rFonts w:cs="Arial"/>
          <w:szCs w:val="24"/>
        </w:rPr>
        <w:t xml:space="preserve"> </w:t>
      </w:r>
      <w:r w:rsidR="00D313C6">
        <w:rPr>
          <w:rFonts w:cs="Arial"/>
          <w:szCs w:val="24"/>
        </w:rPr>
        <w:t xml:space="preserve">all of which </w:t>
      </w:r>
      <w:r w:rsidR="008A24A2">
        <w:rPr>
          <w:rFonts w:cs="Arial"/>
          <w:szCs w:val="24"/>
        </w:rPr>
        <w:t xml:space="preserve">(100%) </w:t>
      </w:r>
      <w:r w:rsidR="00BC24A9" w:rsidRPr="00F161D1">
        <w:rPr>
          <w:rFonts w:cs="Arial"/>
          <w:szCs w:val="24"/>
        </w:rPr>
        <w:t>were successful (</w:t>
      </w:r>
      <w:r w:rsidR="002E2D08">
        <w:rPr>
          <w:rFonts w:cs="Arial"/>
          <w:szCs w:val="24"/>
        </w:rPr>
        <w:t>100</w:t>
      </w:r>
      <w:r w:rsidR="003126F4">
        <w:rPr>
          <w:rFonts w:cs="Arial"/>
          <w:szCs w:val="24"/>
        </w:rPr>
        <w:t>% success</w:t>
      </w:r>
      <w:r w:rsidR="005575A5">
        <w:rPr>
          <w:rFonts w:cs="Arial"/>
          <w:szCs w:val="24"/>
        </w:rPr>
        <w:t xml:space="preserve"> rate in</w:t>
      </w:r>
      <w:r w:rsidR="003126F4">
        <w:rPr>
          <w:rFonts w:cs="Arial"/>
          <w:szCs w:val="24"/>
        </w:rPr>
        <w:t xml:space="preserve"> 201</w:t>
      </w:r>
      <w:r w:rsidR="002E2D08">
        <w:rPr>
          <w:rFonts w:cs="Arial"/>
          <w:szCs w:val="24"/>
        </w:rPr>
        <w:t>9</w:t>
      </w:r>
      <w:r w:rsidR="00BC24A9" w:rsidRPr="00F161D1">
        <w:rPr>
          <w:rFonts w:cs="Arial"/>
          <w:szCs w:val="24"/>
        </w:rPr>
        <w:t>-</w:t>
      </w:r>
      <w:r w:rsidR="002E2D08">
        <w:rPr>
          <w:rFonts w:cs="Arial"/>
          <w:szCs w:val="24"/>
        </w:rPr>
        <w:t>20</w:t>
      </w:r>
      <w:r w:rsidR="00BC24A9" w:rsidRPr="00F161D1">
        <w:rPr>
          <w:rFonts w:cs="Arial"/>
          <w:szCs w:val="24"/>
        </w:rPr>
        <w:t xml:space="preserve">). </w:t>
      </w:r>
      <w:r w:rsidR="0030578D">
        <w:rPr>
          <w:rFonts w:cs="Arial"/>
          <w:szCs w:val="24"/>
        </w:rPr>
        <w:t xml:space="preserve">There were </w:t>
      </w:r>
      <w:r w:rsidR="005575A5">
        <w:rPr>
          <w:rFonts w:cs="Arial"/>
          <w:szCs w:val="24"/>
        </w:rPr>
        <w:t>2</w:t>
      </w:r>
      <w:r w:rsidR="002E2D08">
        <w:rPr>
          <w:rFonts w:cs="Arial"/>
          <w:szCs w:val="24"/>
        </w:rPr>
        <w:t>4</w:t>
      </w:r>
      <w:r w:rsidR="00AA232F" w:rsidRPr="00F161D1">
        <w:rPr>
          <w:rFonts w:cs="Arial"/>
          <w:szCs w:val="24"/>
        </w:rPr>
        <w:t xml:space="preserve"> applications made by men</w:t>
      </w:r>
      <w:r w:rsidR="002E2D08">
        <w:rPr>
          <w:rFonts w:cs="Arial"/>
          <w:szCs w:val="24"/>
        </w:rPr>
        <w:t xml:space="preserve"> (20 last year)</w:t>
      </w:r>
      <w:r w:rsidR="00AA232F" w:rsidRPr="00F161D1">
        <w:rPr>
          <w:rFonts w:cs="Arial"/>
          <w:szCs w:val="24"/>
        </w:rPr>
        <w:t xml:space="preserve">, </w:t>
      </w:r>
      <w:r w:rsidR="00BC24A9" w:rsidRPr="00F161D1">
        <w:rPr>
          <w:rFonts w:cs="Arial"/>
          <w:szCs w:val="24"/>
        </w:rPr>
        <w:t xml:space="preserve">of which </w:t>
      </w:r>
      <w:r w:rsidR="002E2D08">
        <w:rPr>
          <w:rFonts w:cs="Arial"/>
          <w:szCs w:val="24"/>
        </w:rPr>
        <w:t>23</w:t>
      </w:r>
      <w:r w:rsidR="005575A5">
        <w:rPr>
          <w:rFonts w:cs="Arial"/>
          <w:szCs w:val="24"/>
        </w:rPr>
        <w:t xml:space="preserve"> (</w:t>
      </w:r>
      <w:r w:rsidR="002E2D08">
        <w:rPr>
          <w:rFonts w:cs="Arial"/>
          <w:szCs w:val="24"/>
        </w:rPr>
        <w:t>96</w:t>
      </w:r>
      <w:r w:rsidR="00BC24A9" w:rsidRPr="00F161D1">
        <w:rPr>
          <w:rFonts w:cs="Arial"/>
          <w:szCs w:val="24"/>
        </w:rPr>
        <w:t>%) were successful (</w:t>
      </w:r>
      <w:r w:rsidR="008A2E3A">
        <w:rPr>
          <w:rFonts w:cs="Arial"/>
          <w:szCs w:val="24"/>
        </w:rPr>
        <w:t>93</w:t>
      </w:r>
      <w:r w:rsidR="005575A5">
        <w:rPr>
          <w:rFonts w:cs="Arial"/>
          <w:szCs w:val="24"/>
        </w:rPr>
        <w:t>% success rate in</w:t>
      </w:r>
      <w:r w:rsidR="00BC24A9" w:rsidRPr="00F161D1">
        <w:rPr>
          <w:rFonts w:cs="Arial"/>
          <w:szCs w:val="24"/>
        </w:rPr>
        <w:t xml:space="preserve"> 20</w:t>
      </w:r>
      <w:r w:rsidR="002E2D08">
        <w:rPr>
          <w:rFonts w:cs="Arial"/>
          <w:szCs w:val="24"/>
        </w:rPr>
        <w:t>20</w:t>
      </w:r>
      <w:r w:rsidR="00BC24A9" w:rsidRPr="00F161D1">
        <w:rPr>
          <w:rFonts w:cs="Arial"/>
          <w:szCs w:val="24"/>
        </w:rPr>
        <w:t>-</w:t>
      </w:r>
      <w:r w:rsidR="002E2D08">
        <w:rPr>
          <w:rFonts w:cs="Arial"/>
          <w:szCs w:val="24"/>
        </w:rPr>
        <w:t>21</w:t>
      </w:r>
      <w:r w:rsidR="00AA232F" w:rsidRPr="00F161D1">
        <w:rPr>
          <w:rFonts w:cs="Arial"/>
          <w:szCs w:val="24"/>
        </w:rPr>
        <w:t>).</w:t>
      </w:r>
      <w:r w:rsidR="00C12816" w:rsidRPr="00511B40">
        <w:rPr>
          <w:rFonts w:cs="Arial"/>
        </w:rPr>
        <w:t xml:space="preserve"> </w:t>
      </w:r>
    </w:p>
    <w:sectPr w:rsidR="008052B6" w:rsidRPr="00511B40" w:rsidSect="00893F48">
      <w:foot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22D7" w14:textId="77777777" w:rsidR="000D6D1A" w:rsidRDefault="000D6D1A" w:rsidP="003941E9">
      <w:pPr>
        <w:spacing w:line="240" w:lineRule="auto"/>
      </w:pPr>
      <w:r>
        <w:separator/>
      </w:r>
    </w:p>
  </w:endnote>
  <w:endnote w:type="continuationSeparator" w:id="0">
    <w:p w14:paraId="222617B5" w14:textId="77777777" w:rsidR="000D6D1A" w:rsidRDefault="000D6D1A" w:rsidP="0039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9688"/>
      <w:docPartObj>
        <w:docPartGallery w:val="Page Numbers (Bottom of Page)"/>
        <w:docPartUnique/>
      </w:docPartObj>
    </w:sdtPr>
    <w:sdtEndPr/>
    <w:sdtContent>
      <w:p w14:paraId="5EA2E650" w14:textId="77777777" w:rsidR="00F52DC6" w:rsidRDefault="00AA2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1E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6A71B7" w14:textId="77777777" w:rsidR="00F52DC6" w:rsidRDefault="00F52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B40A" w14:textId="77777777" w:rsidR="000D6D1A" w:rsidRDefault="000D6D1A" w:rsidP="003941E9">
      <w:pPr>
        <w:spacing w:line="240" w:lineRule="auto"/>
      </w:pPr>
      <w:r>
        <w:separator/>
      </w:r>
    </w:p>
  </w:footnote>
  <w:footnote w:type="continuationSeparator" w:id="0">
    <w:p w14:paraId="7DB780B1" w14:textId="77777777" w:rsidR="000D6D1A" w:rsidRDefault="000D6D1A" w:rsidP="003941E9">
      <w:pPr>
        <w:spacing w:line="240" w:lineRule="auto"/>
      </w:pPr>
      <w:r>
        <w:continuationSeparator/>
      </w:r>
    </w:p>
  </w:footnote>
  <w:footnote w:id="1">
    <w:p w14:paraId="7B743EC8" w14:textId="77777777" w:rsidR="000040EA" w:rsidRPr="00C12816" w:rsidRDefault="00511B40">
      <w:pPr>
        <w:pStyle w:val="FootnoteText"/>
        <w:rPr>
          <w:sz w:val="24"/>
          <w:szCs w:val="24"/>
        </w:rPr>
      </w:pPr>
      <w:r w:rsidRPr="00C12816">
        <w:rPr>
          <w:rStyle w:val="FootnoteReference"/>
          <w:rFonts w:cs="Arial"/>
          <w:sz w:val="24"/>
          <w:szCs w:val="24"/>
        </w:rPr>
        <w:footnoteRef/>
      </w:r>
      <w:r w:rsidRPr="00C12816">
        <w:rPr>
          <w:rFonts w:cs="Arial"/>
          <w:sz w:val="24"/>
          <w:szCs w:val="24"/>
        </w:rPr>
        <w:t xml:space="preserve"> ‘</w:t>
      </w:r>
      <w:r w:rsidRPr="00C12816">
        <w:rPr>
          <w:rFonts w:cs="Arial"/>
          <w:sz w:val="24"/>
          <w:szCs w:val="24"/>
          <w:lang w:val="en-US"/>
        </w:rPr>
        <w:t>Academic staff’ includes roles such as: lecturer; senior lecturer; associate professor; professor; research fellow/assistant; teaching fellow; clinical; etc.</w:t>
      </w:r>
    </w:p>
  </w:footnote>
  <w:footnote w:id="2">
    <w:p w14:paraId="35997C63" w14:textId="77777777" w:rsidR="0067404F" w:rsidRPr="00C12816" w:rsidRDefault="0067404F" w:rsidP="0067404F">
      <w:pPr>
        <w:pStyle w:val="FootnoteText"/>
        <w:rPr>
          <w:rFonts w:cs="Arial"/>
          <w:sz w:val="24"/>
          <w:szCs w:val="24"/>
        </w:rPr>
      </w:pPr>
      <w:r w:rsidRPr="00C12816">
        <w:rPr>
          <w:rStyle w:val="FootnoteReference"/>
          <w:rFonts w:cs="Arial"/>
          <w:sz w:val="24"/>
          <w:szCs w:val="24"/>
        </w:rPr>
        <w:footnoteRef/>
      </w:r>
      <w:r w:rsidRPr="00C12816">
        <w:rPr>
          <w:rFonts w:cs="Arial"/>
          <w:sz w:val="24"/>
          <w:szCs w:val="24"/>
        </w:rPr>
        <w:t>Disability is defined under the Equality Act 2010 as a physical or mental impairment that has a substantial and long-term negative effect on a person’s ability to do normal daily activities.</w:t>
      </w:r>
    </w:p>
    <w:p w14:paraId="5C45B403" w14:textId="77777777" w:rsidR="0067404F" w:rsidRPr="00C12816" w:rsidRDefault="0067404F" w:rsidP="0067404F">
      <w:pPr>
        <w:pStyle w:val="FootnoteText"/>
        <w:rPr>
          <w:sz w:val="24"/>
          <w:szCs w:val="24"/>
        </w:rPr>
      </w:pPr>
    </w:p>
  </w:footnote>
  <w:footnote w:id="3">
    <w:p w14:paraId="7917ACF4" w14:textId="77777777" w:rsidR="00D41FC4" w:rsidRPr="00C12816" w:rsidRDefault="00D41FC4" w:rsidP="00D41FC4">
      <w:pPr>
        <w:tabs>
          <w:tab w:val="left" w:pos="6828"/>
        </w:tabs>
        <w:spacing w:line="240" w:lineRule="auto"/>
        <w:ind w:left="-93" w:right="379"/>
        <w:rPr>
          <w:rFonts w:eastAsia="Times New Roman" w:cs="Arial"/>
          <w:szCs w:val="24"/>
          <w:lang w:eastAsia="en-GB"/>
        </w:rPr>
      </w:pPr>
      <w:r w:rsidRPr="00C12816">
        <w:rPr>
          <w:rStyle w:val="FootnoteReference"/>
          <w:rFonts w:cs="Arial"/>
          <w:szCs w:val="24"/>
        </w:rPr>
        <w:footnoteRef/>
      </w:r>
      <w:r w:rsidRPr="00C12816">
        <w:rPr>
          <w:rFonts w:cs="Arial"/>
          <w:szCs w:val="24"/>
        </w:rPr>
        <w:t xml:space="preserve"> </w:t>
      </w:r>
      <w:r w:rsidR="000F7226" w:rsidRPr="00C12816">
        <w:rPr>
          <w:rFonts w:cs="Arial"/>
          <w:szCs w:val="24"/>
        </w:rPr>
        <w:t xml:space="preserve">Grade 10 is above associate professor level. </w:t>
      </w:r>
    </w:p>
    <w:p w14:paraId="1C5312FD" w14:textId="77777777" w:rsidR="00D41FC4" w:rsidRPr="000F7226" w:rsidRDefault="00D41FC4" w:rsidP="00D41FC4">
      <w:pPr>
        <w:pStyle w:val="FootnoteText"/>
        <w:rPr>
          <w:rFonts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83F"/>
    <w:multiLevelType w:val="hybridMultilevel"/>
    <w:tmpl w:val="E38881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58"/>
    <w:rsid w:val="000018A9"/>
    <w:rsid w:val="000040EA"/>
    <w:rsid w:val="0000741E"/>
    <w:rsid w:val="00007C1F"/>
    <w:rsid w:val="000111F6"/>
    <w:rsid w:val="00012324"/>
    <w:rsid w:val="000174C7"/>
    <w:rsid w:val="00024913"/>
    <w:rsid w:val="00031E77"/>
    <w:rsid w:val="000340CE"/>
    <w:rsid w:val="00034812"/>
    <w:rsid w:val="00035BED"/>
    <w:rsid w:val="000372DF"/>
    <w:rsid w:val="000375BD"/>
    <w:rsid w:val="000378B6"/>
    <w:rsid w:val="0004267C"/>
    <w:rsid w:val="00052DAB"/>
    <w:rsid w:val="00084210"/>
    <w:rsid w:val="00095447"/>
    <w:rsid w:val="000A0CC8"/>
    <w:rsid w:val="000A4C18"/>
    <w:rsid w:val="000A4F1E"/>
    <w:rsid w:val="000A6965"/>
    <w:rsid w:val="000A713E"/>
    <w:rsid w:val="000B2CE9"/>
    <w:rsid w:val="000C37C1"/>
    <w:rsid w:val="000D2A84"/>
    <w:rsid w:val="000D6D1A"/>
    <w:rsid w:val="000E11A8"/>
    <w:rsid w:val="000E716A"/>
    <w:rsid w:val="000F0473"/>
    <w:rsid w:val="000F6254"/>
    <w:rsid w:val="000F7226"/>
    <w:rsid w:val="00104CFE"/>
    <w:rsid w:val="00110484"/>
    <w:rsid w:val="00112382"/>
    <w:rsid w:val="0013102B"/>
    <w:rsid w:val="0014054B"/>
    <w:rsid w:val="00143F6E"/>
    <w:rsid w:val="0015786B"/>
    <w:rsid w:val="00164CD9"/>
    <w:rsid w:val="00166BA0"/>
    <w:rsid w:val="00167B60"/>
    <w:rsid w:val="00170481"/>
    <w:rsid w:val="00182BEC"/>
    <w:rsid w:val="00183E79"/>
    <w:rsid w:val="00191982"/>
    <w:rsid w:val="00192A22"/>
    <w:rsid w:val="00194DD6"/>
    <w:rsid w:val="001A2D00"/>
    <w:rsid w:val="001A5006"/>
    <w:rsid w:val="001A6E93"/>
    <w:rsid w:val="001B1688"/>
    <w:rsid w:val="001B2383"/>
    <w:rsid w:val="001C011C"/>
    <w:rsid w:val="001D0561"/>
    <w:rsid w:val="001D06B6"/>
    <w:rsid w:val="001F29A5"/>
    <w:rsid w:val="001F3CC7"/>
    <w:rsid w:val="0020320F"/>
    <w:rsid w:val="00206861"/>
    <w:rsid w:val="002155B8"/>
    <w:rsid w:val="00215C61"/>
    <w:rsid w:val="00220691"/>
    <w:rsid w:val="00224AFB"/>
    <w:rsid w:val="0022659E"/>
    <w:rsid w:val="00234081"/>
    <w:rsid w:val="00240AC8"/>
    <w:rsid w:val="00245278"/>
    <w:rsid w:val="00246DC0"/>
    <w:rsid w:val="00254250"/>
    <w:rsid w:val="0027016A"/>
    <w:rsid w:val="0027057F"/>
    <w:rsid w:val="00271221"/>
    <w:rsid w:val="002742A6"/>
    <w:rsid w:val="002959D9"/>
    <w:rsid w:val="00295F8E"/>
    <w:rsid w:val="002A42E2"/>
    <w:rsid w:val="002A4DBC"/>
    <w:rsid w:val="002A50B1"/>
    <w:rsid w:val="002A53E0"/>
    <w:rsid w:val="002A708F"/>
    <w:rsid w:val="002B7122"/>
    <w:rsid w:val="002C0E3F"/>
    <w:rsid w:val="002C442E"/>
    <w:rsid w:val="002C6DE0"/>
    <w:rsid w:val="002C768B"/>
    <w:rsid w:val="002D7077"/>
    <w:rsid w:val="002D7282"/>
    <w:rsid w:val="002E2D08"/>
    <w:rsid w:val="002F2FF8"/>
    <w:rsid w:val="002F41E2"/>
    <w:rsid w:val="002F46F0"/>
    <w:rsid w:val="002F6F32"/>
    <w:rsid w:val="0030578D"/>
    <w:rsid w:val="00311719"/>
    <w:rsid w:val="003126F4"/>
    <w:rsid w:val="003406FC"/>
    <w:rsid w:val="003423F9"/>
    <w:rsid w:val="003578BA"/>
    <w:rsid w:val="00361FE6"/>
    <w:rsid w:val="00365596"/>
    <w:rsid w:val="003751ED"/>
    <w:rsid w:val="0037743F"/>
    <w:rsid w:val="00383DE3"/>
    <w:rsid w:val="00393EF8"/>
    <w:rsid w:val="003941E9"/>
    <w:rsid w:val="003A3389"/>
    <w:rsid w:val="003B7C50"/>
    <w:rsid w:val="003C1D46"/>
    <w:rsid w:val="003E1F7A"/>
    <w:rsid w:val="003E1FF2"/>
    <w:rsid w:val="003E622E"/>
    <w:rsid w:val="00404E5D"/>
    <w:rsid w:val="00423DC7"/>
    <w:rsid w:val="00427241"/>
    <w:rsid w:val="00436E4E"/>
    <w:rsid w:val="0046200B"/>
    <w:rsid w:val="00467F36"/>
    <w:rsid w:val="00471363"/>
    <w:rsid w:val="00475663"/>
    <w:rsid w:val="00477E99"/>
    <w:rsid w:val="00486294"/>
    <w:rsid w:val="0049003E"/>
    <w:rsid w:val="004929A4"/>
    <w:rsid w:val="00495A66"/>
    <w:rsid w:val="004C4361"/>
    <w:rsid w:val="004D1D47"/>
    <w:rsid w:val="004D4CDB"/>
    <w:rsid w:val="004D69BB"/>
    <w:rsid w:val="004D7559"/>
    <w:rsid w:val="004F05BA"/>
    <w:rsid w:val="004F3134"/>
    <w:rsid w:val="004F3D9C"/>
    <w:rsid w:val="004F5D23"/>
    <w:rsid w:val="00504701"/>
    <w:rsid w:val="00511B40"/>
    <w:rsid w:val="00513274"/>
    <w:rsid w:val="00513CDF"/>
    <w:rsid w:val="00514A45"/>
    <w:rsid w:val="005217E9"/>
    <w:rsid w:val="00522C8F"/>
    <w:rsid w:val="0052660C"/>
    <w:rsid w:val="00527A3A"/>
    <w:rsid w:val="005471E4"/>
    <w:rsid w:val="005575A5"/>
    <w:rsid w:val="005611DB"/>
    <w:rsid w:val="005641D6"/>
    <w:rsid w:val="00580563"/>
    <w:rsid w:val="00597EAD"/>
    <w:rsid w:val="005A20BA"/>
    <w:rsid w:val="005B7913"/>
    <w:rsid w:val="005C0878"/>
    <w:rsid w:val="005E766F"/>
    <w:rsid w:val="005F6130"/>
    <w:rsid w:val="00620924"/>
    <w:rsid w:val="0062139E"/>
    <w:rsid w:val="00621B04"/>
    <w:rsid w:val="00625775"/>
    <w:rsid w:val="0063113A"/>
    <w:rsid w:val="006327F0"/>
    <w:rsid w:val="00636985"/>
    <w:rsid w:val="00646CA9"/>
    <w:rsid w:val="0065216F"/>
    <w:rsid w:val="00653460"/>
    <w:rsid w:val="00656FD9"/>
    <w:rsid w:val="0067003C"/>
    <w:rsid w:val="00672ECC"/>
    <w:rsid w:val="0067404F"/>
    <w:rsid w:val="0067538F"/>
    <w:rsid w:val="006928EB"/>
    <w:rsid w:val="006A007B"/>
    <w:rsid w:val="006B3FF1"/>
    <w:rsid w:val="006C08B8"/>
    <w:rsid w:val="006C6CAC"/>
    <w:rsid w:val="006C7845"/>
    <w:rsid w:val="006D00A6"/>
    <w:rsid w:val="006E1C0E"/>
    <w:rsid w:val="006E69B4"/>
    <w:rsid w:val="006F0367"/>
    <w:rsid w:val="00701460"/>
    <w:rsid w:val="0071401D"/>
    <w:rsid w:val="00715845"/>
    <w:rsid w:val="00721F63"/>
    <w:rsid w:val="0072247B"/>
    <w:rsid w:val="0072519D"/>
    <w:rsid w:val="007337D5"/>
    <w:rsid w:val="00746AB0"/>
    <w:rsid w:val="00757D3E"/>
    <w:rsid w:val="00765CFD"/>
    <w:rsid w:val="0076735F"/>
    <w:rsid w:val="00771633"/>
    <w:rsid w:val="0077406B"/>
    <w:rsid w:val="00781DEE"/>
    <w:rsid w:val="007B001E"/>
    <w:rsid w:val="007B2BD4"/>
    <w:rsid w:val="007C5053"/>
    <w:rsid w:val="007D1B03"/>
    <w:rsid w:val="007E262D"/>
    <w:rsid w:val="007E7076"/>
    <w:rsid w:val="008052B6"/>
    <w:rsid w:val="008078AB"/>
    <w:rsid w:val="00810532"/>
    <w:rsid w:val="008113BF"/>
    <w:rsid w:val="0082058C"/>
    <w:rsid w:val="00833327"/>
    <w:rsid w:val="00833595"/>
    <w:rsid w:val="008352C5"/>
    <w:rsid w:val="00843D39"/>
    <w:rsid w:val="00843F14"/>
    <w:rsid w:val="00854C55"/>
    <w:rsid w:val="00880DB5"/>
    <w:rsid w:val="00887C57"/>
    <w:rsid w:val="008916FB"/>
    <w:rsid w:val="00892CE7"/>
    <w:rsid w:val="00893F48"/>
    <w:rsid w:val="00895B66"/>
    <w:rsid w:val="008962D5"/>
    <w:rsid w:val="008A24A2"/>
    <w:rsid w:val="008A2E3A"/>
    <w:rsid w:val="008B1D7E"/>
    <w:rsid w:val="008B36F5"/>
    <w:rsid w:val="008B497F"/>
    <w:rsid w:val="008B6655"/>
    <w:rsid w:val="008C091D"/>
    <w:rsid w:val="008C5DD7"/>
    <w:rsid w:val="008D4D28"/>
    <w:rsid w:val="008D67DB"/>
    <w:rsid w:val="008D7BDE"/>
    <w:rsid w:val="008E09B1"/>
    <w:rsid w:val="00913786"/>
    <w:rsid w:val="0092060F"/>
    <w:rsid w:val="00927E77"/>
    <w:rsid w:val="00941C45"/>
    <w:rsid w:val="009461DD"/>
    <w:rsid w:val="009519E1"/>
    <w:rsid w:val="0095797B"/>
    <w:rsid w:val="00970A54"/>
    <w:rsid w:val="00977693"/>
    <w:rsid w:val="0099222B"/>
    <w:rsid w:val="009A1B7B"/>
    <w:rsid w:val="009A4922"/>
    <w:rsid w:val="009A5FF6"/>
    <w:rsid w:val="009A6226"/>
    <w:rsid w:val="009B126E"/>
    <w:rsid w:val="009B471E"/>
    <w:rsid w:val="009B58EF"/>
    <w:rsid w:val="009C28BD"/>
    <w:rsid w:val="009D1F0B"/>
    <w:rsid w:val="009D7EC9"/>
    <w:rsid w:val="009E2C0E"/>
    <w:rsid w:val="009E41ED"/>
    <w:rsid w:val="00A15E1B"/>
    <w:rsid w:val="00A318AF"/>
    <w:rsid w:val="00A338F5"/>
    <w:rsid w:val="00A3595B"/>
    <w:rsid w:val="00A51271"/>
    <w:rsid w:val="00A53279"/>
    <w:rsid w:val="00A62AF3"/>
    <w:rsid w:val="00A634DA"/>
    <w:rsid w:val="00A70C06"/>
    <w:rsid w:val="00A7276B"/>
    <w:rsid w:val="00A74C65"/>
    <w:rsid w:val="00A755AE"/>
    <w:rsid w:val="00A757A1"/>
    <w:rsid w:val="00A82751"/>
    <w:rsid w:val="00A84D01"/>
    <w:rsid w:val="00A93047"/>
    <w:rsid w:val="00A93796"/>
    <w:rsid w:val="00A94B66"/>
    <w:rsid w:val="00AA232F"/>
    <w:rsid w:val="00AB52E0"/>
    <w:rsid w:val="00AD3338"/>
    <w:rsid w:val="00AE35CF"/>
    <w:rsid w:val="00AF2C28"/>
    <w:rsid w:val="00AF33FF"/>
    <w:rsid w:val="00AF4E71"/>
    <w:rsid w:val="00AF66E9"/>
    <w:rsid w:val="00AF694E"/>
    <w:rsid w:val="00B0332B"/>
    <w:rsid w:val="00B06DA6"/>
    <w:rsid w:val="00B234F2"/>
    <w:rsid w:val="00B306C2"/>
    <w:rsid w:val="00B36498"/>
    <w:rsid w:val="00B4150E"/>
    <w:rsid w:val="00B41B1F"/>
    <w:rsid w:val="00B41B29"/>
    <w:rsid w:val="00B42738"/>
    <w:rsid w:val="00B432DC"/>
    <w:rsid w:val="00B64DC0"/>
    <w:rsid w:val="00B66586"/>
    <w:rsid w:val="00B762BC"/>
    <w:rsid w:val="00B82FF8"/>
    <w:rsid w:val="00B87649"/>
    <w:rsid w:val="00B93975"/>
    <w:rsid w:val="00B96030"/>
    <w:rsid w:val="00BB0FFC"/>
    <w:rsid w:val="00BC24A9"/>
    <w:rsid w:val="00BC529F"/>
    <w:rsid w:val="00BC5D64"/>
    <w:rsid w:val="00BC6300"/>
    <w:rsid w:val="00BD5F74"/>
    <w:rsid w:val="00BD6BE7"/>
    <w:rsid w:val="00BE6676"/>
    <w:rsid w:val="00BF297D"/>
    <w:rsid w:val="00BF325E"/>
    <w:rsid w:val="00C03396"/>
    <w:rsid w:val="00C12816"/>
    <w:rsid w:val="00C1508C"/>
    <w:rsid w:val="00C243CB"/>
    <w:rsid w:val="00C27626"/>
    <w:rsid w:val="00C40BFD"/>
    <w:rsid w:val="00C41262"/>
    <w:rsid w:val="00C4382B"/>
    <w:rsid w:val="00C459E3"/>
    <w:rsid w:val="00C5418D"/>
    <w:rsid w:val="00C564B1"/>
    <w:rsid w:val="00C617B8"/>
    <w:rsid w:val="00C72A93"/>
    <w:rsid w:val="00C72E70"/>
    <w:rsid w:val="00C77184"/>
    <w:rsid w:val="00C82FBA"/>
    <w:rsid w:val="00C904A6"/>
    <w:rsid w:val="00C94C4A"/>
    <w:rsid w:val="00C9685F"/>
    <w:rsid w:val="00CB0CEF"/>
    <w:rsid w:val="00CC3F35"/>
    <w:rsid w:val="00CD0D5F"/>
    <w:rsid w:val="00CF46CA"/>
    <w:rsid w:val="00D16AB8"/>
    <w:rsid w:val="00D24EA0"/>
    <w:rsid w:val="00D30245"/>
    <w:rsid w:val="00D3111A"/>
    <w:rsid w:val="00D313C6"/>
    <w:rsid w:val="00D343F4"/>
    <w:rsid w:val="00D36995"/>
    <w:rsid w:val="00D41FC4"/>
    <w:rsid w:val="00D52756"/>
    <w:rsid w:val="00D5430F"/>
    <w:rsid w:val="00D642EE"/>
    <w:rsid w:val="00D93F67"/>
    <w:rsid w:val="00D96F41"/>
    <w:rsid w:val="00DA0383"/>
    <w:rsid w:val="00DA2495"/>
    <w:rsid w:val="00DA38E7"/>
    <w:rsid w:val="00DC285E"/>
    <w:rsid w:val="00DD417B"/>
    <w:rsid w:val="00DE079B"/>
    <w:rsid w:val="00DE1F00"/>
    <w:rsid w:val="00DE2167"/>
    <w:rsid w:val="00DE7B58"/>
    <w:rsid w:val="00DF5DD5"/>
    <w:rsid w:val="00E2089C"/>
    <w:rsid w:val="00E22F60"/>
    <w:rsid w:val="00E237C7"/>
    <w:rsid w:val="00E34D95"/>
    <w:rsid w:val="00E36D57"/>
    <w:rsid w:val="00E51F9C"/>
    <w:rsid w:val="00E574DB"/>
    <w:rsid w:val="00E92868"/>
    <w:rsid w:val="00E94C6F"/>
    <w:rsid w:val="00E965F5"/>
    <w:rsid w:val="00EA4C87"/>
    <w:rsid w:val="00EB1489"/>
    <w:rsid w:val="00EB540D"/>
    <w:rsid w:val="00ED34D6"/>
    <w:rsid w:val="00EE3D93"/>
    <w:rsid w:val="00EF232F"/>
    <w:rsid w:val="00EF6A15"/>
    <w:rsid w:val="00F02885"/>
    <w:rsid w:val="00F03D6E"/>
    <w:rsid w:val="00F161D1"/>
    <w:rsid w:val="00F171DF"/>
    <w:rsid w:val="00F352A1"/>
    <w:rsid w:val="00F439F5"/>
    <w:rsid w:val="00F51EEE"/>
    <w:rsid w:val="00F52DC6"/>
    <w:rsid w:val="00F55FC6"/>
    <w:rsid w:val="00F62C04"/>
    <w:rsid w:val="00F636AB"/>
    <w:rsid w:val="00F73295"/>
    <w:rsid w:val="00F82365"/>
    <w:rsid w:val="00F9614B"/>
    <w:rsid w:val="00FB5F8F"/>
    <w:rsid w:val="00FB6B60"/>
    <w:rsid w:val="00FB767F"/>
    <w:rsid w:val="00FB7EBB"/>
    <w:rsid w:val="00FC32A9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5655"/>
  <w15:docId w15:val="{6FDADB7C-7F21-48A5-98FA-843A618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816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816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816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816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816"/>
    <w:rPr>
      <w:rFonts w:ascii="Arial" w:eastAsiaTheme="majorEastAsia" w:hAnsi="Arial" w:cstheme="majorBidi"/>
      <w:b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E9"/>
  </w:style>
  <w:style w:type="paragraph" w:styleId="Footer">
    <w:name w:val="footer"/>
    <w:basedOn w:val="Normal"/>
    <w:link w:val="FooterChar"/>
    <w:uiPriority w:val="99"/>
    <w:unhideWhenUsed/>
    <w:rsid w:val="003941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E9"/>
  </w:style>
  <w:style w:type="paragraph" w:styleId="EndnoteText">
    <w:name w:val="endnote text"/>
    <w:basedOn w:val="Normal"/>
    <w:link w:val="EndnoteTextChar"/>
    <w:uiPriority w:val="99"/>
    <w:semiHidden/>
    <w:unhideWhenUsed/>
    <w:rsid w:val="008052B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2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2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12816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816"/>
    <w:rPr>
      <w:rFonts w:ascii="Arial" w:eastAsiaTheme="majorEastAsia" w:hAnsi="Arial" w:cstheme="majorBid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12816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128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1281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1281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128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2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81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81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54F5-B4FA-4B7B-848F-0C17B5519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1708-B92F-4FA9-92E3-2A3CC8328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D6424-419A-47D9-A2EE-BBF8EF500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703308-077F-48F9-AE91-9C6CF166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dismp</dc:creator>
  <cp:lastModifiedBy>Stephen Scott</cp:lastModifiedBy>
  <cp:revision>9</cp:revision>
  <cp:lastPrinted>2018-01-22T09:44:00Z</cp:lastPrinted>
  <dcterms:created xsi:type="dcterms:W3CDTF">2022-01-08T09:46:00Z</dcterms:created>
  <dcterms:modified xsi:type="dcterms:W3CDTF">2022-01-08T10:26:00Z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