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3725" w14:textId="10230828" w:rsidR="00216150" w:rsidRDefault="00216150" w:rsidP="0002229D">
      <w:pPr>
        <w:pStyle w:val="Heading1"/>
        <w:rPr>
          <w:lang w:eastAsia="ja-JP"/>
        </w:rPr>
      </w:pPr>
      <w:bookmarkStart w:id="0" w:name="_Toc61780088"/>
      <w:bookmarkStart w:id="1" w:name="_Toc56508178"/>
      <w:r w:rsidRPr="0002229D">
        <w:rPr>
          <w:lang w:eastAsia="ja-JP"/>
        </w:rPr>
        <w:t>University of Leeds</w:t>
      </w:r>
      <w:r w:rsidR="00AC7839" w:rsidRPr="0002229D">
        <w:rPr>
          <w:lang w:eastAsia="ja-JP"/>
        </w:rPr>
        <w:t xml:space="preserve"> - all</w:t>
      </w:r>
      <w:r w:rsidRPr="0002229D">
        <w:rPr>
          <w:lang w:eastAsia="ja-JP"/>
        </w:rPr>
        <w:t xml:space="preserve"> staff </w:t>
      </w:r>
      <w:r w:rsidR="00FC74EB" w:rsidRPr="0002229D">
        <w:rPr>
          <w:lang w:eastAsia="ja-JP"/>
        </w:rPr>
        <w:t>turnover</w:t>
      </w:r>
      <w:r w:rsidR="00B0546C" w:rsidRPr="0002229D">
        <w:rPr>
          <w:lang w:eastAsia="ja-JP"/>
        </w:rPr>
        <w:t xml:space="preserve"> by protected characteristic</w:t>
      </w:r>
      <w:r w:rsidRPr="0002229D">
        <w:rPr>
          <w:lang w:eastAsia="ja-JP"/>
        </w:rPr>
        <w:t xml:space="preserve"> </w:t>
      </w:r>
      <w:r w:rsidR="00B82494" w:rsidRPr="0002229D">
        <w:rPr>
          <w:lang w:eastAsia="ja-JP"/>
        </w:rPr>
        <w:t>1 August 201</w:t>
      </w:r>
      <w:r w:rsidR="00C5194B">
        <w:rPr>
          <w:lang w:eastAsia="ja-JP"/>
        </w:rPr>
        <w:t>9</w:t>
      </w:r>
      <w:r w:rsidR="00FC74EB" w:rsidRPr="0002229D">
        <w:rPr>
          <w:lang w:eastAsia="ja-JP"/>
        </w:rPr>
        <w:t xml:space="preserve"> – 31 </w:t>
      </w:r>
      <w:r w:rsidR="00B82494" w:rsidRPr="0002229D">
        <w:rPr>
          <w:lang w:eastAsia="ja-JP"/>
        </w:rPr>
        <w:t>July 20</w:t>
      </w:r>
      <w:r w:rsidR="00C5194B">
        <w:rPr>
          <w:lang w:eastAsia="ja-JP"/>
        </w:rPr>
        <w:t>20</w:t>
      </w:r>
      <w:bookmarkEnd w:id="0"/>
      <w:bookmarkEnd w:id="1"/>
    </w:p>
    <w:p w14:paraId="376074DA" w14:textId="16D5105D" w:rsidR="0002229D" w:rsidRDefault="0002229D" w:rsidP="0002229D">
      <w:pPr>
        <w:rPr>
          <w:lang w:eastAsia="ja-JP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663919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52519F" w14:textId="7852224C" w:rsidR="0002229D" w:rsidRPr="0002229D" w:rsidRDefault="0002229D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02229D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1C1BFB1D" w14:textId="5A872773" w:rsidR="005A18C9" w:rsidRDefault="0002229D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02229D">
            <w:rPr>
              <w:rFonts w:cs="Arial"/>
              <w:szCs w:val="24"/>
            </w:rPr>
            <w:fldChar w:fldCharType="begin"/>
          </w:r>
          <w:r w:rsidRPr="0002229D">
            <w:rPr>
              <w:rFonts w:cs="Arial"/>
              <w:szCs w:val="24"/>
            </w:rPr>
            <w:instrText xml:space="preserve"> TOC \o "1-3" \h \z \u </w:instrText>
          </w:r>
          <w:r w:rsidRPr="0002229D">
            <w:rPr>
              <w:rFonts w:cs="Arial"/>
              <w:szCs w:val="24"/>
            </w:rPr>
            <w:fldChar w:fldCharType="separate"/>
          </w:r>
        </w:p>
        <w:p w14:paraId="787D420D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89" w:history="1">
            <w:r w:rsidRPr="00A51A21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BE79A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0" w:history="1">
            <w:r w:rsidRPr="00A51A21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0FAF3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1" w:history="1">
            <w:r w:rsidRPr="00A51A21">
              <w:rPr>
                <w:rStyle w:val="Hyperlink"/>
                <w:noProof/>
              </w:rPr>
              <w:t>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82DCC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2" w:history="1">
            <w:r w:rsidRPr="00A51A21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1A5C6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3" w:history="1">
            <w:r w:rsidRPr="00A51A21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1A5C0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4" w:history="1">
            <w:r w:rsidRPr="00A51A21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0844D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5" w:history="1">
            <w:r w:rsidRPr="00A51A21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057BC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6" w:history="1">
            <w:r w:rsidRPr="00A51A21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2B85D" w14:textId="17900DDE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7" w:history="1">
            <w:r w:rsidRPr="00A51A21">
              <w:rPr>
                <w:rStyle w:val="Hyperlink"/>
                <w:noProof/>
              </w:rPr>
              <w:t xml:space="preserve">Contract Status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7A55F" w14:textId="77777777" w:rsidR="005A18C9" w:rsidRDefault="005A18C9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8" w:history="1">
            <w:r w:rsidRPr="00A51A21">
              <w:rPr>
                <w:rStyle w:val="Hyperlink"/>
                <w:noProof/>
              </w:rPr>
              <w:t>Contract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_Toc61780098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23B32" w14:textId="44775268" w:rsidR="0002229D" w:rsidRPr="0002229D" w:rsidRDefault="0002229D">
          <w:pPr>
            <w:rPr>
              <w:rFonts w:cs="Arial"/>
              <w:szCs w:val="24"/>
            </w:rPr>
          </w:pPr>
          <w:r w:rsidRPr="0002229D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7EFD3A97" w14:textId="094D8074" w:rsidR="00E61EB2" w:rsidRPr="0002229D" w:rsidRDefault="0002229D" w:rsidP="0002229D">
      <w:pPr>
        <w:pStyle w:val="Heading2"/>
      </w:pPr>
      <w:bookmarkStart w:id="2" w:name="_Toc53135677"/>
      <w:bookmarkStart w:id="3" w:name="_Toc61780089"/>
      <w:r w:rsidRPr="0002229D">
        <w:t>Introduction</w:t>
      </w:r>
      <w:bookmarkEnd w:id="2"/>
      <w:bookmarkEnd w:id="3"/>
    </w:p>
    <w:p w14:paraId="5A1AE23B" w14:textId="0C66B975" w:rsidR="00311584" w:rsidRDefault="00204CF3" w:rsidP="0002229D">
      <w:pPr>
        <w:spacing w:line="360" w:lineRule="auto"/>
        <w:rPr>
          <w:rFonts w:cs="Arial"/>
          <w:i/>
        </w:rPr>
      </w:pPr>
      <w:r w:rsidRPr="0002229D">
        <w:rPr>
          <w:rFonts w:cs="Arial"/>
        </w:rPr>
        <w:t>The following data provide</w:t>
      </w:r>
      <w:r w:rsidR="00B51A81" w:rsidRPr="0002229D">
        <w:rPr>
          <w:rFonts w:cs="Arial"/>
        </w:rPr>
        <w:t xml:space="preserve"> information on all staff (academic, professional and managerial</w:t>
      </w:r>
      <w:r w:rsidR="006E38E6">
        <w:rPr>
          <w:rFonts w:cs="Arial"/>
        </w:rPr>
        <w:t>,</w:t>
      </w:r>
      <w:r w:rsidR="00B51A81" w:rsidRPr="0002229D">
        <w:rPr>
          <w:rFonts w:cs="Arial"/>
        </w:rPr>
        <w:t xml:space="preserve"> and support) across the University who voluntarily resign</w:t>
      </w:r>
      <w:r w:rsidRPr="0002229D">
        <w:rPr>
          <w:rFonts w:cs="Arial"/>
        </w:rPr>
        <w:t>ed during the academic year 201</w:t>
      </w:r>
      <w:r w:rsidR="00FC48B0">
        <w:rPr>
          <w:rFonts w:cs="Arial"/>
        </w:rPr>
        <w:t>9</w:t>
      </w:r>
      <w:r w:rsidRPr="0002229D">
        <w:rPr>
          <w:rFonts w:cs="Arial"/>
        </w:rPr>
        <w:t>-</w:t>
      </w:r>
      <w:r w:rsidR="00FC48B0">
        <w:rPr>
          <w:rFonts w:cs="Arial"/>
        </w:rPr>
        <w:t>20</w:t>
      </w:r>
      <w:r w:rsidR="00B51A81" w:rsidRPr="0002229D">
        <w:rPr>
          <w:rFonts w:cs="Arial"/>
        </w:rPr>
        <w:t>. The</w:t>
      </w:r>
      <w:r w:rsidRPr="0002229D">
        <w:rPr>
          <w:rFonts w:cs="Arial"/>
        </w:rPr>
        <w:t>se data are</w:t>
      </w:r>
      <w:r w:rsidR="00B51A81" w:rsidRPr="0002229D">
        <w:rPr>
          <w:rFonts w:cs="Arial"/>
        </w:rPr>
        <w:t xml:space="preserve"> provided by the following protected characteristic: age; caring responsibilit</w:t>
      </w:r>
      <w:r w:rsidR="00FC48B0">
        <w:rPr>
          <w:rFonts w:cs="Arial"/>
        </w:rPr>
        <w:t>ies</w:t>
      </w:r>
      <w:r w:rsidR="00B51A81" w:rsidRPr="0002229D">
        <w:rPr>
          <w:rFonts w:cs="Arial"/>
        </w:rPr>
        <w:t>; disability; ethnicity; gender; religion</w:t>
      </w:r>
      <w:r w:rsidR="003F04DC" w:rsidRPr="0002229D">
        <w:rPr>
          <w:rFonts w:cs="Arial"/>
        </w:rPr>
        <w:t xml:space="preserve"> or belief</w:t>
      </w:r>
      <w:r w:rsidR="00B51A81" w:rsidRPr="0002229D">
        <w:rPr>
          <w:rFonts w:cs="Arial"/>
        </w:rPr>
        <w:t>; and sexual orientation as well as by contract type (permanent or fixed-term) and contract status (full or part time).</w:t>
      </w:r>
      <w:r w:rsidR="00B51A81" w:rsidRPr="0002229D">
        <w:rPr>
          <w:rFonts w:cs="Arial"/>
          <w:i/>
        </w:rPr>
        <w:t xml:space="preserve"> </w:t>
      </w:r>
    </w:p>
    <w:p w14:paraId="142C20C5" w14:textId="35D03BFC" w:rsidR="00393AF6" w:rsidRPr="0002229D" w:rsidRDefault="00585534" w:rsidP="0002229D">
      <w:pPr>
        <w:spacing w:line="360" w:lineRule="auto"/>
        <w:rPr>
          <w:rFonts w:cs="Arial"/>
        </w:rPr>
      </w:pPr>
      <w:r>
        <w:rPr>
          <w:rFonts w:cs="Arial"/>
        </w:rPr>
        <w:t>During 2019-20</w:t>
      </w:r>
      <w:r w:rsidR="008F790D" w:rsidRPr="0002229D">
        <w:rPr>
          <w:rFonts w:cs="Arial"/>
        </w:rPr>
        <w:t xml:space="preserve">, a total of </w:t>
      </w:r>
      <w:r w:rsidR="00FC48B0">
        <w:rPr>
          <w:rFonts w:cs="Arial"/>
        </w:rPr>
        <w:t>60</w:t>
      </w:r>
      <w:r w:rsidR="008F790D" w:rsidRPr="0002229D">
        <w:rPr>
          <w:rFonts w:cs="Arial"/>
        </w:rPr>
        <w:t>0</w:t>
      </w:r>
      <w:r w:rsidR="00B51A81" w:rsidRPr="0002229D">
        <w:rPr>
          <w:rFonts w:cs="Arial"/>
        </w:rPr>
        <w:t xml:space="preserve"> staff resigned out of a staff population of </w:t>
      </w:r>
      <w:r w:rsidR="00646385" w:rsidRPr="0002229D">
        <w:rPr>
          <w:rFonts w:cs="Arial"/>
        </w:rPr>
        <w:t>9,</w:t>
      </w:r>
      <w:r w:rsidR="00FC48B0">
        <w:rPr>
          <w:rFonts w:cs="Arial"/>
        </w:rPr>
        <w:t>239</w:t>
      </w:r>
      <w:r w:rsidR="00B46B31" w:rsidRPr="0002229D">
        <w:rPr>
          <w:rFonts w:cs="Arial"/>
        </w:rPr>
        <w:t>, equating to a</w:t>
      </w:r>
      <w:r w:rsidR="00B35A13" w:rsidRPr="0002229D">
        <w:rPr>
          <w:rFonts w:cs="Arial"/>
          <w:color w:val="000000" w:themeColor="text1"/>
        </w:rPr>
        <w:t xml:space="preserve"> </w:t>
      </w:r>
      <w:r w:rsidR="00C51D20">
        <w:rPr>
          <w:rFonts w:cs="Arial"/>
          <w:color w:val="000000" w:themeColor="text1"/>
        </w:rPr>
        <w:t>6</w:t>
      </w:r>
      <w:r w:rsidR="007F4EDC" w:rsidRPr="0002229D">
        <w:rPr>
          <w:rFonts w:cs="Arial"/>
          <w:color w:val="000000" w:themeColor="text1"/>
        </w:rPr>
        <w:t>% staff turnover rate (</w:t>
      </w:r>
      <w:r w:rsidR="00FC48B0">
        <w:rPr>
          <w:rFonts w:cs="Arial"/>
          <w:color w:val="000000" w:themeColor="text1"/>
        </w:rPr>
        <w:t>8</w:t>
      </w:r>
      <w:r w:rsidR="00B35A13" w:rsidRPr="0002229D">
        <w:rPr>
          <w:rFonts w:cs="Arial"/>
          <w:color w:val="000000" w:themeColor="text1"/>
        </w:rPr>
        <w:t>%, 201</w:t>
      </w:r>
      <w:r w:rsidR="00FC48B0">
        <w:rPr>
          <w:rFonts w:cs="Arial"/>
          <w:color w:val="000000" w:themeColor="text1"/>
        </w:rPr>
        <w:t>8</w:t>
      </w:r>
      <w:r w:rsidR="00B35A13" w:rsidRPr="0002229D">
        <w:rPr>
          <w:rFonts w:cs="Arial"/>
          <w:color w:val="000000" w:themeColor="text1"/>
        </w:rPr>
        <w:t>-1</w:t>
      </w:r>
      <w:r w:rsidR="00FC48B0">
        <w:rPr>
          <w:rFonts w:cs="Arial"/>
          <w:color w:val="000000" w:themeColor="text1"/>
        </w:rPr>
        <w:t>9</w:t>
      </w:r>
      <w:r w:rsidR="00B51A81" w:rsidRPr="0002229D">
        <w:rPr>
          <w:rFonts w:cs="Arial"/>
          <w:color w:val="000000" w:themeColor="text1"/>
        </w:rPr>
        <w:t xml:space="preserve">). </w:t>
      </w:r>
      <w:r w:rsidR="00763652" w:rsidRPr="0002229D">
        <w:rPr>
          <w:rFonts w:eastAsiaTheme="majorEastAsia" w:cs="Arial"/>
          <w:b/>
          <w:bCs/>
          <w:color w:val="365F91" w:themeColor="accent1" w:themeShade="BF"/>
          <w:sz w:val="32"/>
          <w:szCs w:val="28"/>
        </w:rPr>
        <w:br/>
      </w:r>
      <w:r w:rsidR="00763652" w:rsidRPr="0002229D">
        <w:rPr>
          <w:rFonts w:cs="Arial"/>
        </w:rPr>
        <w:br/>
      </w:r>
      <w:r w:rsidR="00393AF6" w:rsidRPr="0002229D">
        <w:rPr>
          <w:rFonts w:cs="Arial"/>
        </w:rPr>
        <w:t xml:space="preserve">The previous two years of data are provided for comparison. </w:t>
      </w:r>
    </w:p>
    <w:p w14:paraId="070F38F5" w14:textId="1FA7FA8E" w:rsidR="00ED3813" w:rsidRDefault="00204CF3" w:rsidP="0002229D">
      <w:pPr>
        <w:spacing w:line="360" w:lineRule="auto"/>
        <w:rPr>
          <w:rFonts w:cs="Arial"/>
          <w:b/>
          <w:i/>
        </w:rPr>
      </w:pPr>
      <w:r w:rsidRPr="0002229D">
        <w:rPr>
          <w:rFonts w:cs="Arial"/>
          <w:b/>
          <w:i/>
        </w:rPr>
        <w:t>Data are</w:t>
      </w:r>
      <w:r w:rsidR="00B51A81" w:rsidRPr="0002229D">
        <w:rPr>
          <w:rFonts w:cs="Arial"/>
          <w:b/>
          <w:i/>
        </w:rPr>
        <w:t xml:space="preserve"> rounded to the nearest whole percent</w:t>
      </w:r>
      <w:r w:rsidR="00B51A81" w:rsidRPr="0002229D">
        <w:rPr>
          <w:rFonts w:cs="Arial"/>
          <w:b/>
          <w:color w:val="000000"/>
        </w:rPr>
        <w:t xml:space="preserve"> </w:t>
      </w:r>
      <w:r w:rsidR="00B51A81" w:rsidRPr="0002229D">
        <w:rPr>
          <w:rFonts w:cs="Arial"/>
          <w:b/>
          <w:i/>
          <w:color w:val="000000"/>
        </w:rPr>
        <w:t>and therefore may not always total 100%</w:t>
      </w:r>
      <w:r w:rsidR="00B51A81" w:rsidRPr="0002229D">
        <w:rPr>
          <w:rFonts w:cs="Arial"/>
          <w:b/>
          <w:i/>
        </w:rPr>
        <w:t xml:space="preserve">. </w:t>
      </w:r>
    </w:p>
    <w:p w14:paraId="0A43CF03" w14:textId="77777777" w:rsidR="0002229D" w:rsidRDefault="0002229D" w:rsidP="0002229D">
      <w:pPr>
        <w:spacing w:line="2400" w:lineRule="auto"/>
        <w:rPr>
          <w:rFonts w:cs="Arial"/>
          <w:b/>
          <w:i/>
        </w:rPr>
      </w:pPr>
    </w:p>
    <w:p w14:paraId="6E08C9F8" w14:textId="77777777" w:rsidR="00ED3813" w:rsidRPr="007F4EDC" w:rsidRDefault="00ED3813" w:rsidP="0002229D">
      <w:pPr>
        <w:pStyle w:val="Heading2"/>
      </w:pPr>
      <w:bookmarkStart w:id="4" w:name="_Toc61780090"/>
      <w:r w:rsidRPr="007F4EDC">
        <w:lastRenderedPageBreak/>
        <w:t>Age</w:t>
      </w:r>
      <w:bookmarkEnd w:id="4"/>
    </w:p>
    <w:p w14:paraId="62392D6C" w14:textId="77777777" w:rsidR="00ED3813" w:rsidRPr="00C27958" w:rsidRDefault="00ED3813" w:rsidP="0002229D"/>
    <w:p w14:paraId="03FB86CD" w14:textId="2ADA2016" w:rsidR="007E11C5" w:rsidRDefault="006D39F7" w:rsidP="0002229D">
      <w:pPr>
        <w:rPr>
          <w:b/>
          <w:szCs w:val="24"/>
        </w:rPr>
      </w:pPr>
      <w:r>
        <w:rPr>
          <w:noProof/>
          <w:lang w:eastAsia="en-GB"/>
        </w:rPr>
        <w:drawing>
          <wp:inline distT="0" distB="0" distL="0" distR="0" wp14:anchorId="3D9687E1" wp14:editId="36A1562D">
            <wp:extent cx="5476875" cy="27336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ll Staff Turnover by Age"/>
        <w:tblDescription w:val="Table showing the number and percentage of all staff turnover by age in 2018-19, 2017-18 and 2016-17. Categories include under 20, 20-29, 30-39, 40-49, 50-59 and 60+."/>
      </w:tblPr>
      <w:tblGrid>
        <w:gridCol w:w="1673"/>
        <w:gridCol w:w="1497"/>
        <w:gridCol w:w="1452"/>
        <w:gridCol w:w="1378"/>
        <w:gridCol w:w="1378"/>
        <w:gridCol w:w="1378"/>
      </w:tblGrid>
      <w:tr w:rsidR="00F50938" w:rsidRPr="00470E7A" w14:paraId="485A86B6" w14:textId="77777777" w:rsidTr="009928C6">
        <w:trPr>
          <w:trHeight w:val="320"/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471" w14:textId="46679016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89E" w14:textId="77777777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FE0" w14:textId="77777777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4FE52" w14:textId="5843E174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3327B" w14:textId="3B53C1F7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E7A" w14:textId="5155EC13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F50938" w:rsidRPr="00470E7A" w14:paraId="7B475688" w14:textId="77777777" w:rsidTr="009928C6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E24" w14:textId="77777777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5BF" w14:textId="61E783B6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67BA0" w14:textId="09B4C3B3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9C20A" w14:textId="5602A8A5" w:rsidR="00F50938" w:rsidRPr="009928C6" w:rsidRDefault="00F50938" w:rsidP="009928C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27%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F0FFD" w14:textId="4CDD3E3F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7%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D45" w14:textId="261D6820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7%</w:t>
            </w:r>
          </w:p>
        </w:tc>
      </w:tr>
      <w:tr w:rsidR="00F50938" w:rsidRPr="00470E7A" w14:paraId="5DE0BFA1" w14:textId="77777777" w:rsidTr="009928C6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4E4" w14:textId="77777777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E7D7" w14:textId="1655C221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1246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E412" w14:textId="73053378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188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FAE57" w14:textId="3F0C9CD4" w:rsidR="00F50938" w:rsidRPr="009928C6" w:rsidRDefault="00F50938" w:rsidP="009928C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15%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26461D" w14:textId="3185DA97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18%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EFE" w14:textId="47775BD6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17%</w:t>
            </w:r>
          </w:p>
        </w:tc>
      </w:tr>
      <w:tr w:rsidR="00F50938" w:rsidRPr="00470E7A" w14:paraId="0CA22118" w14:textId="77777777" w:rsidTr="009928C6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E00" w14:textId="77777777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8CE" w14:textId="098B56F0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2715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3029" w14:textId="4192E943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206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DA83B" w14:textId="61E95784" w:rsidR="00F50938" w:rsidRPr="009928C6" w:rsidRDefault="00F50938" w:rsidP="009928C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5619E" w14:textId="1570377E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9%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E70" w14:textId="4655AB20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9%</w:t>
            </w:r>
          </w:p>
        </w:tc>
      </w:tr>
      <w:tr w:rsidR="00F50938" w:rsidRPr="00470E7A" w14:paraId="5C0EBB98" w14:textId="77777777" w:rsidTr="009928C6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034" w14:textId="77777777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E45C" w14:textId="3A51188B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2423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4C40" w14:textId="54276270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114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E6C23" w14:textId="4FCF4F60" w:rsidR="00F50938" w:rsidRPr="009928C6" w:rsidRDefault="00F50938" w:rsidP="009928C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64B97" w14:textId="5FFB8F89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5%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DCA" w14:textId="1F2E3C62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5%</w:t>
            </w:r>
          </w:p>
        </w:tc>
      </w:tr>
      <w:tr w:rsidR="00F50938" w:rsidRPr="00470E7A" w14:paraId="0C3B0F39" w14:textId="77777777" w:rsidTr="009928C6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DBC" w14:textId="77777777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521" w14:textId="784720BC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1994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E90A" w14:textId="5BBFB5B8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66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E0907" w14:textId="5F24E958" w:rsidR="00F50938" w:rsidRPr="009928C6" w:rsidRDefault="00F50938" w:rsidP="009928C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C5FB4" w14:textId="34474DBD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3%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5555" w14:textId="69F6F9C6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3%</w:t>
            </w:r>
          </w:p>
        </w:tc>
      </w:tr>
      <w:tr w:rsidR="00F50938" w:rsidRPr="00470E7A" w14:paraId="6A729F57" w14:textId="77777777" w:rsidTr="009928C6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DF6" w14:textId="77777777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8F4E" w14:textId="09D7665A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846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947A" w14:textId="277E533A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A4FEC" w14:textId="2618BC26" w:rsidR="00F50938" w:rsidRPr="009928C6" w:rsidRDefault="00F50938" w:rsidP="009928C6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9D982" w14:textId="342D2251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4%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4052" w14:textId="1EAAE918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3%</w:t>
            </w:r>
          </w:p>
        </w:tc>
      </w:tr>
    </w:tbl>
    <w:p w14:paraId="0A4A6200" w14:textId="77777777" w:rsidR="0002229D" w:rsidRDefault="0002229D" w:rsidP="0002229D">
      <w:pPr>
        <w:rPr>
          <w:b/>
        </w:rPr>
      </w:pPr>
    </w:p>
    <w:p w14:paraId="43A4973B" w14:textId="5229024F" w:rsidR="007E11C5" w:rsidRPr="0002229D" w:rsidRDefault="00ED3813" w:rsidP="0002229D">
      <w:pPr>
        <w:rPr>
          <w:b/>
        </w:rPr>
      </w:pPr>
      <w:r w:rsidRPr="0002229D">
        <w:rPr>
          <w:b/>
        </w:rPr>
        <w:t>Commentary</w:t>
      </w:r>
    </w:p>
    <w:p w14:paraId="7AF76CFF" w14:textId="7996CA7E" w:rsidR="00233F8F" w:rsidRDefault="00422A65" w:rsidP="0002229D">
      <w:pPr>
        <w:spacing w:line="360" w:lineRule="auto"/>
      </w:pPr>
      <w:r w:rsidRPr="007F4EDC">
        <w:t xml:space="preserve">The highest </w:t>
      </w:r>
      <w:r w:rsidR="005D104A">
        <w:t>turnover</w:t>
      </w:r>
      <w:r w:rsidR="007C2EC8" w:rsidRPr="007F4EDC">
        <w:t xml:space="preserve"> </w:t>
      </w:r>
      <w:r w:rsidR="00CC5C58">
        <w:t>during 201</w:t>
      </w:r>
      <w:r w:rsidR="00D753FB">
        <w:t>9</w:t>
      </w:r>
      <w:r w:rsidR="00CC5C58">
        <w:t>-</w:t>
      </w:r>
      <w:r w:rsidR="00D753FB">
        <w:t>20</w:t>
      </w:r>
      <w:r w:rsidR="00946ADF">
        <w:t xml:space="preserve"> </w:t>
      </w:r>
      <w:r w:rsidR="005D104A">
        <w:t>was amongst those</w:t>
      </w:r>
      <w:r w:rsidR="007C2EC8" w:rsidRPr="007F4EDC">
        <w:t xml:space="preserve"> aged</w:t>
      </w:r>
      <w:r w:rsidR="008B19E4" w:rsidRPr="007F4EDC">
        <w:t xml:space="preserve"> </w:t>
      </w:r>
      <w:r w:rsidR="00D753FB">
        <w:t xml:space="preserve">under 20 years </w:t>
      </w:r>
      <w:r w:rsidR="00C776C2" w:rsidRPr="007F4EDC">
        <w:t xml:space="preserve">at </w:t>
      </w:r>
      <w:r w:rsidR="00D753FB">
        <w:t>27</w:t>
      </w:r>
      <w:r w:rsidRPr="007F4EDC">
        <w:t>%</w:t>
      </w:r>
      <w:r w:rsidR="00946ADF">
        <w:t xml:space="preserve"> (</w:t>
      </w:r>
      <w:r w:rsidR="00D753FB">
        <w:t xml:space="preserve">the </w:t>
      </w:r>
      <w:r w:rsidR="00946ADF">
        <w:t>highest in 201</w:t>
      </w:r>
      <w:r w:rsidR="00D753FB">
        <w:t>8</w:t>
      </w:r>
      <w:r w:rsidR="00CC5C58">
        <w:t>-1</w:t>
      </w:r>
      <w:r w:rsidR="00D753FB">
        <w:t>9</w:t>
      </w:r>
      <w:r w:rsidR="00946ADF">
        <w:t xml:space="preserve"> </w:t>
      </w:r>
      <w:r w:rsidR="00D753FB">
        <w:t xml:space="preserve">was those aged 20-29 </w:t>
      </w:r>
      <w:r w:rsidR="00946ADF">
        <w:t xml:space="preserve">at </w:t>
      </w:r>
      <w:r w:rsidR="00C36E17">
        <w:t>1</w:t>
      </w:r>
      <w:r w:rsidR="00D753FB">
        <w:t>8</w:t>
      </w:r>
      <w:r w:rsidR="00C36E17">
        <w:t>%)</w:t>
      </w:r>
      <w:r w:rsidR="007D2430">
        <w:t xml:space="preserve">. </w:t>
      </w:r>
      <w:r w:rsidRPr="007F4EDC">
        <w:t xml:space="preserve">The lowest </w:t>
      </w:r>
      <w:r w:rsidR="00DA6035" w:rsidRPr="007F4EDC">
        <w:t xml:space="preserve">turnover rate </w:t>
      </w:r>
      <w:r w:rsidR="007D2430">
        <w:t xml:space="preserve">at 3% </w:t>
      </w:r>
      <w:r w:rsidR="00515ABB">
        <w:t xml:space="preserve">was amongst </w:t>
      </w:r>
      <w:r w:rsidR="00DA6035" w:rsidRPr="007F4EDC">
        <w:t>staff</w:t>
      </w:r>
      <w:r w:rsidRPr="007F4EDC">
        <w:t xml:space="preserve"> aged</w:t>
      </w:r>
      <w:r w:rsidR="007D2430">
        <w:t xml:space="preserve"> 50-59</w:t>
      </w:r>
      <w:r w:rsidR="00F4468E">
        <w:t xml:space="preserve"> and 60+ years</w:t>
      </w:r>
      <w:r w:rsidR="007D2430">
        <w:t xml:space="preserve"> </w:t>
      </w:r>
      <w:r w:rsidR="00B502E3" w:rsidRPr="007F4EDC">
        <w:t>(</w:t>
      </w:r>
      <w:r w:rsidR="00515ABB">
        <w:t>also 3</w:t>
      </w:r>
      <w:r w:rsidR="007D2430">
        <w:t xml:space="preserve">% </w:t>
      </w:r>
      <w:r w:rsidR="00515ABB">
        <w:t>in</w:t>
      </w:r>
      <w:r w:rsidR="007D2430">
        <w:t xml:space="preserve"> 201</w:t>
      </w:r>
      <w:r w:rsidR="00F4468E">
        <w:t>8</w:t>
      </w:r>
      <w:r w:rsidR="00CC5C58">
        <w:t>-1</w:t>
      </w:r>
      <w:r w:rsidR="00F4468E">
        <w:t>9 for those aged 50-59 years</w:t>
      </w:r>
      <w:r w:rsidR="007C2EC8" w:rsidRPr="007F4EDC">
        <w:t>)</w:t>
      </w:r>
      <w:r w:rsidRPr="007F4EDC">
        <w:t xml:space="preserve">. </w:t>
      </w:r>
    </w:p>
    <w:p w14:paraId="54244559" w14:textId="77777777" w:rsidR="0002229D" w:rsidRPr="00C27958" w:rsidRDefault="0002229D" w:rsidP="0002229D"/>
    <w:p w14:paraId="011D7923" w14:textId="5A2C7F88" w:rsidR="009305E8" w:rsidRPr="007D2430" w:rsidRDefault="009305E8" w:rsidP="0002229D">
      <w:pPr>
        <w:pStyle w:val="Heading2"/>
      </w:pPr>
      <w:bookmarkStart w:id="5" w:name="_Toc61780091"/>
      <w:r w:rsidRPr="007D2430">
        <w:lastRenderedPageBreak/>
        <w:t>Caring Responsibilit</w:t>
      </w:r>
      <w:r w:rsidR="007F4066">
        <w:t>ies</w:t>
      </w:r>
      <w:r w:rsidR="00110047" w:rsidRPr="007D2430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1"/>
      </w:r>
      <w:bookmarkEnd w:id="5"/>
    </w:p>
    <w:p w14:paraId="62BCE8FD" w14:textId="77777777" w:rsidR="007C2EC8" w:rsidRPr="00C27958" w:rsidRDefault="007C2EC8" w:rsidP="00422A65">
      <w:pPr>
        <w:pStyle w:val="Heading1"/>
        <w:ind w:right="237"/>
        <w:rPr>
          <w:rFonts w:cs="Arial"/>
          <w:b w:val="0"/>
          <w:color w:val="000000" w:themeColor="text1"/>
          <w:sz w:val="24"/>
          <w:szCs w:val="24"/>
        </w:rPr>
      </w:pPr>
    </w:p>
    <w:p w14:paraId="1BFE3830" w14:textId="168BB58A" w:rsidR="00511DFF" w:rsidRPr="00C27958" w:rsidRDefault="00C622ED" w:rsidP="0002229D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08015A6" wp14:editId="6673D057">
            <wp:extent cx="5457825" cy="30194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4972" w:type="pct"/>
        <w:tblLayout w:type="fixed"/>
        <w:tblLook w:val="04A0" w:firstRow="1" w:lastRow="0" w:firstColumn="1" w:lastColumn="0" w:noHBand="0" w:noVBand="1"/>
        <w:tblCaption w:val="All Staff Turnover by Caring Responsibilities"/>
        <w:tblDescription w:val="Table showing the percentage and number of all staff turnover by caring responsibilities in 2018-19, 2017-18 and 2016-17. "/>
      </w:tblPr>
      <w:tblGrid>
        <w:gridCol w:w="1407"/>
        <w:gridCol w:w="1499"/>
        <w:gridCol w:w="1450"/>
        <w:gridCol w:w="1450"/>
        <w:gridCol w:w="1450"/>
        <w:gridCol w:w="1446"/>
      </w:tblGrid>
      <w:tr w:rsidR="001363EF" w:rsidRPr="00E84AEA" w14:paraId="26E1AD70" w14:textId="77777777" w:rsidTr="009928C6">
        <w:trPr>
          <w:trHeight w:val="323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ED4" w14:textId="77777777" w:rsidR="001363EF" w:rsidRPr="00311584" w:rsidRDefault="001363EF" w:rsidP="009928C6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26" w14:textId="77777777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E32" w14:textId="77777777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016DA" w14:textId="6BA4255D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2019-20 %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EAA8" w14:textId="172841C6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2018-19 % Turnover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EE91" w14:textId="28930F19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2017-18 % Turnover</w:t>
            </w:r>
          </w:p>
        </w:tc>
      </w:tr>
      <w:tr w:rsidR="001363EF" w:rsidRPr="00E84AEA" w14:paraId="01D88227" w14:textId="77777777" w:rsidTr="009928C6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95C" w14:textId="77777777" w:rsidR="001363EF" w:rsidRPr="00311584" w:rsidRDefault="001363EF" w:rsidP="00EF4B1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6B1" w14:textId="4F8103C1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2502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96BB" w14:textId="2379E3FF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97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A8603" w14:textId="0CA70294" w:rsidR="001363EF" w:rsidRPr="009928C6" w:rsidRDefault="001363EF" w:rsidP="009928C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E7DB7" w14:textId="2D29A5CD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5%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40C7" w14:textId="0054E7D5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5%</w:t>
            </w:r>
          </w:p>
        </w:tc>
      </w:tr>
      <w:tr w:rsidR="001363EF" w:rsidRPr="00E84AEA" w14:paraId="7B4B7FE3" w14:textId="77777777" w:rsidTr="009928C6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49" w14:textId="77777777" w:rsidR="001363EF" w:rsidRPr="00311584" w:rsidRDefault="001363EF" w:rsidP="00EF4B1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C4C" w14:textId="6BB9BAF1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4216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4C36" w14:textId="4F459BBF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309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E9ABF" w14:textId="7E1A90F9" w:rsidR="001363EF" w:rsidRPr="009928C6" w:rsidRDefault="001363EF" w:rsidP="009928C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84EC" w14:textId="4183E114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10%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B684" w14:textId="6239BD2E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9%</w:t>
            </w:r>
          </w:p>
        </w:tc>
      </w:tr>
      <w:tr w:rsidR="001363EF" w:rsidRPr="00E84AEA" w14:paraId="4E74B2AA" w14:textId="77777777" w:rsidTr="009928C6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4A2" w14:textId="77777777" w:rsidR="001363EF" w:rsidRPr="00311584" w:rsidRDefault="001363EF" w:rsidP="00EF4B1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66B" w14:textId="0432FC06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8038" w14:textId="32FB352B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39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CFC4B" w14:textId="5C389CE9" w:rsidR="001363EF" w:rsidRPr="009928C6" w:rsidRDefault="001363EF" w:rsidP="009928C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118B9" w14:textId="77639376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8%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CD05" w14:textId="26C72B33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10%</w:t>
            </w:r>
          </w:p>
        </w:tc>
      </w:tr>
      <w:tr w:rsidR="001363EF" w:rsidRPr="00E84AEA" w14:paraId="47DDEF60" w14:textId="77777777" w:rsidTr="009928C6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F47" w14:textId="77777777" w:rsidR="001363EF" w:rsidRPr="00311584" w:rsidRDefault="001363EF" w:rsidP="00EF4B1F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9BC" w14:textId="26788951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1867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3D59" w14:textId="7938B5C0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155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8C07D" w14:textId="02E88B9D" w:rsidR="001363EF" w:rsidRPr="009928C6" w:rsidRDefault="001363EF" w:rsidP="009928C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5C74" w14:textId="6D07AEC6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6%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672F" w14:textId="0DAE38D8" w:rsidR="001363EF" w:rsidRPr="009928C6" w:rsidRDefault="001363EF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5%</w:t>
            </w:r>
          </w:p>
        </w:tc>
      </w:tr>
    </w:tbl>
    <w:p w14:paraId="1957B23F" w14:textId="33BB52EF" w:rsidR="007C2EC8" w:rsidRPr="0002229D" w:rsidRDefault="00763652" w:rsidP="0002229D">
      <w:pPr>
        <w:rPr>
          <w:b/>
        </w:rPr>
      </w:pPr>
      <w:r>
        <w:br/>
      </w:r>
      <w:r w:rsidR="007C2EC8" w:rsidRPr="0002229D">
        <w:rPr>
          <w:b/>
        </w:rPr>
        <w:t>Commentary</w:t>
      </w:r>
    </w:p>
    <w:p w14:paraId="2F9162A3" w14:textId="15ECFB5C" w:rsidR="00422A65" w:rsidRDefault="00422A65" w:rsidP="0002229D">
      <w:pPr>
        <w:spacing w:line="360" w:lineRule="auto"/>
      </w:pPr>
      <w:r w:rsidRPr="00763652">
        <w:t xml:space="preserve">For staff who declared they had caring responsibilities, </w:t>
      </w:r>
      <w:r w:rsidR="00060F89" w:rsidRPr="00763652">
        <w:t xml:space="preserve">there was a </w:t>
      </w:r>
      <w:r w:rsidR="00463389">
        <w:t>4</w:t>
      </w:r>
      <w:r w:rsidRPr="00763652">
        <w:t>% turnover</w:t>
      </w:r>
      <w:r w:rsidR="00A76AAA">
        <w:t xml:space="preserve"> during 201</w:t>
      </w:r>
      <w:r w:rsidR="00463389">
        <w:t>9</w:t>
      </w:r>
      <w:r w:rsidR="00A76AAA">
        <w:t>-</w:t>
      </w:r>
      <w:r w:rsidR="00463389">
        <w:t>20</w:t>
      </w:r>
      <w:r w:rsidR="00C86727" w:rsidRPr="00763652">
        <w:t xml:space="preserve"> (</w:t>
      </w:r>
      <w:r w:rsidR="00A76AAA">
        <w:t>5</w:t>
      </w:r>
      <w:r w:rsidR="00060F89" w:rsidRPr="00763652">
        <w:t xml:space="preserve">%, </w:t>
      </w:r>
      <w:r w:rsidR="00C86727" w:rsidRPr="00763652">
        <w:t>201</w:t>
      </w:r>
      <w:r w:rsidR="00463389">
        <w:t>8</w:t>
      </w:r>
      <w:r w:rsidR="00A76AAA">
        <w:t>-1</w:t>
      </w:r>
      <w:r w:rsidR="00463389">
        <w:t>9</w:t>
      </w:r>
      <w:r w:rsidR="007927D4" w:rsidRPr="00763652">
        <w:t>)</w:t>
      </w:r>
      <w:r w:rsidRPr="00763652">
        <w:t xml:space="preserve">. </w:t>
      </w:r>
      <w:r w:rsidR="00A76AAA">
        <w:t xml:space="preserve">This figure was </w:t>
      </w:r>
      <w:r w:rsidR="0067766D">
        <w:t>7</w:t>
      </w:r>
      <w:r w:rsidRPr="00763652">
        <w:t>% for staff with no</w:t>
      </w:r>
      <w:r w:rsidR="00762474" w:rsidRPr="00763652">
        <w:t xml:space="preserve"> </w:t>
      </w:r>
      <w:r w:rsidRPr="00763652">
        <w:t>caring responsibilities</w:t>
      </w:r>
      <w:r w:rsidR="00762474" w:rsidRPr="00763652">
        <w:t xml:space="preserve"> (</w:t>
      </w:r>
      <w:r w:rsidR="0067766D">
        <w:t>10</w:t>
      </w:r>
      <w:r w:rsidR="00EA1734" w:rsidRPr="00763652">
        <w:t>%</w:t>
      </w:r>
      <w:r w:rsidR="00A76AAA">
        <w:t xml:space="preserve">, </w:t>
      </w:r>
      <w:r w:rsidR="00EA1734" w:rsidRPr="00763652">
        <w:t>201</w:t>
      </w:r>
      <w:r w:rsidR="00D844D1">
        <w:t>8</w:t>
      </w:r>
      <w:r w:rsidR="00EA1734" w:rsidRPr="00763652">
        <w:t>-1</w:t>
      </w:r>
      <w:r w:rsidR="00D844D1">
        <w:t>9</w:t>
      </w:r>
      <w:r w:rsidR="007927D4" w:rsidRPr="00763652">
        <w:t>)</w:t>
      </w:r>
      <w:r w:rsidRPr="00763652">
        <w:t xml:space="preserve">. </w:t>
      </w:r>
    </w:p>
    <w:p w14:paraId="7D2D9AA4" w14:textId="77777777" w:rsidR="0002229D" w:rsidRDefault="0002229D" w:rsidP="0002229D">
      <w:pPr>
        <w:spacing w:line="360" w:lineRule="auto"/>
      </w:pPr>
    </w:p>
    <w:p w14:paraId="4AE05C10" w14:textId="570104B2" w:rsidR="007927D4" w:rsidRPr="00C27958" w:rsidRDefault="00004161" w:rsidP="0002229D">
      <w:pPr>
        <w:pStyle w:val="Heading2"/>
        <w:rPr>
          <w:rFonts w:cs="Arial"/>
          <w:color w:val="000000" w:themeColor="text1"/>
          <w:szCs w:val="24"/>
        </w:rPr>
      </w:pPr>
      <w:bookmarkStart w:id="6" w:name="_Toc61780092"/>
      <w:r w:rsidRPr="00060F89">
        <w:lastRenderedPageBreak/>
        <w:t>Disability</w:t>
      </w:r>
      <w:r w:rsidR="00BE1906" w:rsidRPr="00060F8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6"/>
    </w:p>
    <w:p w14:paraId="1C38A61C" w14:textId="3F73B6FD" w:rsidR="007927D4" w:rsidRPr="00C27958" w:rsidRDefault="00882612" w:rsidP="0002229D">
      <w:pPr>
        <w:rPr>
          <w:rFonts w:cs="Aria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>
        <w:rPr>
          <w:noProof/>
          <w:lang w:eastAsia="en-GB"/>
        </w:rPr>
        <w:drawing>
          <wp:inline distT="0" distB="0" distL="0" distR="0" wp14:anchorId="6761F116" wp14:editId="040C9996">
            <wp:extent cx="5495925" cy="30194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Turnover by Disability"/>
        <w:tblDescription w:val="Table showing the percentage and number of all staff turnover by disability in 2018-19, 2017-18, 2016-17. Categories include Disabled, Non know disability, Prefer not to answer and unknown."/>
      </w:tblPr>
      <w:tblGrid>
        <w:gridCol w:w="1697"/>
        <w:gridCol w:w="1418"/>
        <w:gridCol w:w="1416"/>
        <w:gridCol w:w="1418"/>
        <w:gridCol w:w="1418"/>
        <w:gridCol w:w="1384"/>
      </w:tblGrid>
      <w:tr w:rsidR="002D3F00" w:rsidRPr="00E84AEA" w14:paraId="0786CECD" w14:textId="77777777" w:rsidTr="009928C6">
        <w:trPr>
          <w:trHeight w:val="330"/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0E9" w14:textId="77777777" w:rsidR="002D3F00" w:rsidRPr="009928C6" w:rsidRDefault="002D3F00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216" w14:textId="77777777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DEDC" w14:textId="77777777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14040" w14:textId="3EE97294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4E0E" w14:textId="179ED515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1BB" w14:textId="60EE2C13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2D3F00" w:rsidRPr="00E84AEA" w14:paraId="45EC4B03" w14:textId="77777777" w:rsidTr="009928C6">
        <w:trPr>
          <w:trHeight w:val="312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369" w14:textId="77777777" w:rsidR="002D3F00" w:rsidRPr="009928C6" w:rsidRDefault="002D3F00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20B" w14:textId="53DA7CEB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CE1" w14:textId="7FF714F7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4061C" w14:textId="4763D855" w:rsidR="002D3F00" w:rsidRPr="009928C6" w:rsidRDefault="002D3F00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BD1BD" w14:textId="04EAA4E1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10%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09602" w14:textId="325E4FE5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6%</w:t>
            </w:r>
          </w:p>
        </w:tc>
      </w:tr>
      <w:tr w:rsidR="002D3F00" w:rsidRPr="00E84AEA" w14:paraId="56D54AFE" w14:textId="77777777" w:rsidTr="009928C6">
        <w:trPr>
          <w:trHeight w:val="312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843" w14:textId="09390385" w:rsidR="002D3F00" w:rsidRPr="009928C6" w:rsidRDefault="002D3F00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2178" w14:textId="43A1E61C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7223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DC1A" w14:textId="3505A9D2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434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A9800" w14:textId="5C6F049A" w:rsidR="002D3F00" w:rsidRPr="009928C6" w:rsidRDefault="002D3F00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F316" w14:textId="532B26C1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E8D50" w14:textId="171A3FCA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7%</w:t>
            </w:r>
          </w:p>
        </w:tc>
      </w:tr>
      <w:tr w:rsidR="002D3F00" w:rsidRPr="00E84AEA" w14:paraId="0FD3BB02" w14:textId="77777777" w:rsidTr="009928C6">
        <w:trPr>
          <w:trHeight w:val="625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091" w14:textId="77777777" w:rsidR="002D3F00" w:rsidRPr="009928C6" w:rsidRDefault="002D3F00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2E6" w14:textId="766B5F8C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747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24CB" w14:textId="103D669D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48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4318C" w14:textId="2A106BFA" w:rsidR="002D3F00" w:rsidRPr="009928C6" w:rsidRDefault="002D3F00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D2B7" w14:textId="2F260255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26785" w14:textId="63337080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9%</w:t>
            </w:r>
          </w:p>
        </w:tc>
      </w:tr>
      <w:tr w:rsidR="002D3F00" w:rsidRPr="00E84AEA" w14:paraId="057AC8C8" w14:textId="77777777" w:rsidTr="009928C6">
        <w:trPr>
          <w:trHeight w:val="312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0E3" w14:textId="77777777" w:rsidR="002D3F00" w:rsidRPr="009928C6" w:rsidRDefault="002D3F00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10B" w14:textId="5351FBC6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734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5EE6" w14:textId="0B34C0E9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96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BB2D4" w14:textId="530B1C1A" w:rsidR="002D3F00" w:rsidRPr="009928C6" w:rsidRDefault="002D3F00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13%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1DB2" w14:textId="4D5DAA51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57778" w14:textId="27F385C2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9%</w:t>
            </w:r>
          </w:p>
        </w:tc>
      </w:tr>
    </w:tbl>
    <w:p w14:paraId="3ACC9BBA" w14:textId="77777777" w:rsidR="0002229D" w:rsidRDefault="0002229D" w:rsidP="0002229D">
      <w:pPr>
        <w:rPr>
          <w:b/>
        </w:rPr>
      </w:pPr>
    </w:p>
    <w:p w14:paraId="052AD0C5" w14:textId="678A2C26" w:rsidR="007927D4" w:rsidRPr="0002229D" w:rsidRDefault="007927D4" w:rsidP="0002229D">
      <w:pPr>
        <w:rPr>
          <w:b/>
        </w:rPr>
      </w:pPr>
      <w:r w:rsidRPr="0002229D">
        <w:rPr>
          <w:b/>
        </w:rPr>
        <w:t>Commentary</w:t>
      </w:r>
    </w:p>
    <w:p w14:paraId="451487CA" w14:textId="42945E02" w:rsidR="00160041" w:rsidRDefault="00060F89" w:rsidP="0002229D">
      <w:pPr>
        <w:spacing w:line="360" w:lineRule="auto"/>
        <w:rPr>
          <w:rFonts w:cs="Arial"/>
          <w:b/>
          <w:color w:val="17365D" w:themeColor="text2" w:themeShade="BF"/>
          <w:sz w:val="32"/>
          <w:szCs w:val="32"/>
        </w:rPr>
      </w:pPr>
      <w:r>
        <w:rPr>
          <w:color w:val="000000" w:themeColor="text1"/>
          <w:szCs w:val="24"/>
        </w:rPr>
        <w:t>During 201</w:t>
      </w:r>
      <w:r w:rsidR="001B6DDF">
        <w:rPr>
          <w:color w:val="000000" w:themeColor="text1"/>
          <w:szCs w:val="24"/>
        </w:rPr>
        <w:t>9</w:t>
      </w:r>
      <w:r w:rsidR="00F7726B">
        <w:rPr>
          <w:color w:val="000000" w:themeColor="text1"/>
          <w:szCs w:val="24"/>
        </w:rPr>
        <w:t>-</w:t>
      </w:r>
      <w:r w:rsidR="001B6DDF">
        <w:rPr>
          <w:color w:val="000000" w:themeColor="text1"/>
          <w:szCs w:val="24"/>
        </w:rPr>
        <w:t>20</w:t>
      </w:r>
      <w:r>
        <w:rPr>
          <w:color w:val="000000" w:themeColor="text1"/>
          <w:szCs w:val="24"/>
        </w:rPr>
        <w:t xml:space="preserve"> o</w:t>
      </w:r>
      <w:r w:rsidR="00422A65" w:rsidRPr="00060F89">
        <w:rPr>
          <w:color w:val="000000" w:themeColor="text1"/>
          <w:szCs w:val="24"/>
        </w:rPr>
        <w:t xml:space="preserve">f the total number of staff who </w:t>
      </w:r>
      <w:r w:rsidR="006553BB" w:rsidRPr="00060F89">
        <w:rPr>
          <w:color w:val="000000" w:themeColor="text1"/>
          <w:szCs w:val="24"/>
        </w:rPr>
        <w:t xml:space="preserve">stated they had a disability, </w:t>
      </w:r>
      <w:r w:rsidR="001B6DDF">
        <w:rPr>
          <w:color w:val="000000" w:themeColor="text1"/>
          <w:szCs w:val="24"/>
        </w:rPr>
        <w:t>4</w:t>
      </w:r>
      <w:r w:rsidR="00422A65" w:rsidRPr="00060F89">
        <w:rPr>
          <w:color w:val="000000" w:themeColor="text1"/>
          <w:szCs w:val="24"/>
        </w:rPr>
        <w:t>% resigned, (</w:t>
      </w:r>
      <w:r w:rsidR="001B6DDF">
        <w:rPr>
          <w:color w:val="000000" w:themeColor="text1"/>
          <w:szCs w:val="24"/>
        </w:rPr>
        <w:t>10</w:t>
      </w:r>
      <w:r w:rsidR="006553BB" w:rsidRPr="00060F89">
        <w:rPr>
          <w:color w:val="000000" w:themeColor="text1"/>
          <w:szCs w:val="24"/>
        </w:rPr>
        <w:t>%, 201</w:t>
      </w:r>
      <w:r w:rsidR="001B6DDF">
        <w:rPr>
          <w:color w:val="000000" w:themeColor="text1"/>
          <w:szCs w:val="24"/>
        </w:rPr>
        <w:t>8</w:t>
      </w:r>
      <w:r w:rsidR="006553BB" w:rsidRPr="00060F89">
        <w:rPr>
          <w:color w:val="000000" w:themeColor="text1"/>
          <w:szCs w:val="24"/>
        </w:rPr>
        <w:t>-1</w:t>
      </w:r>
      <w:r w:rsidR="001B6DDF">
        <w:rPr>
          <w:color w:val="000000" w:themeColor="text1"/>
          <w:szCs w:val="24"/>
        </w:rPr>
        <w:t>9</w:t>
      </w:r>
      <w:r w:rsidR="00422A65" w:rsidRPr="00060F89">
        <w:rPr>
          <w:color w:val="000000" w:themeColor="text1"/>
          <w:szCs w:val="24"/>
        </w:rPr>
        <w:t xml:space="preserve">). Of the total number of staff </w:t>
      </w:r>
      <w:r w:rsidR="00D116C1">
        <w:rPr>
          <w:color w:val="000000" w:themeColor="text1"/>
          <w:szCs w:val="24"/>
        </w:rPr>
        <w:t>with no known disability</w:t>
      </w:r>
      <w:r w:rsidR="00227C54">
        <w:rPr>
          <w:color w:val="000000" w:themeColor="text1"/>
          <w:szCs w:val="24"/>
        </w:rPr>
        <w:t xml:space="preserve">, </w:t>
      </w:r>
      <w:r w:rsidR="001B6DDF">
        <w:rPr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>% resigned</w:t>
      </w:r>
      <w:r w:rsidR="000479CC">
        <w:rPr>
          <w:color w:val="000000" w:themeColor="text1"/>
          <w:szCs w:val="24"/>
        </w:rPr>
        <w:t xml:space="preserve"> </w:t>
      </w:r>
      <w:r w:rsidR="00227C54">
        <w:rPr>
          <w:color w:val="000000" w:themeColor="text1"/>
          <w:szCs w:val="24"/>
        </w:rPr>
        <w:t>(</w:t>
      </w:r>
      <w:r w:rsidR="001B6DDF">
        <w:rPr>
          <w:color w:val="000000" w:themeColor="text1"/>
          <w:szCs w:val="24"/>
        </w:rPr>
        <w:t>8</w:t>
      </w:r>
      <w:r w:rsidR="00227C54">
        <w:rPr>
          <w:color w:val="000000" w:themeColor="text1"/>
          <w:szCs w:val="24"/>
        </w:rPr>
        <w:t>%, 201</w:t>
      </w:r>
      <w:r w:rsidR="001B6DDF">
        <w:rPr>
          <w:color w:val="000000" w:themeColor="text1"/>
          <w:szCs w:val="24"/>
        </w:rPr>
        <w:t>8</w:t>
      </w:r>
      <w:r w:rsidR="00227C54">
        <w:rPr>
          <w:color w:val="000000" w:themeColor="text1"/>
          <w:szCs w:val="24"/>
        </w:rPr>
        <w:t>-1</w:t>
      </w:r>
      <w:r w:rsidR="001B6DDF">
        <w:rPr>
          <w:color w:val="000000" w:themeColor="text1"/>
          <w:szCs w:val="24"/>
        </w:rPr>
        <w:t>9</w:t>
      </w:r>
      <w:r w:rsidR="00227C54">
        <w:rPr>
          <w:color w:val="000000" w:themeColor="text1"/>
          <w:szCs w:val="24"/>
        </w:rPr>
        <w:t>)</w:t>
      </w:r>
      <w:r w:rsidR="00422A65" w:rsidRPr="00060F89">
        <w:rPr>
          <w:color w:val="000000" w:themeColor="text1"/>
          <w:szCs w:val="24"/>
        </w:rPr>
        <w:t>.</w:t>
      </w:r>
    </w:p>
    <w:p w14:paraId="23F29C3C" w14:textId="422AEB0C" w:rsidR="00933395" w:rsidRPr="00C27958" w:rsidRDefault="00160041" w:rsidP="0002229D">
      <w:pPr>
        <w:pStyle w:val="Heading2"/>
        <w:rPr>
          <w:rFonts w:cs="Arial"/>
          <w:szCs w:val="24"/>
        </w:rPr>
      </w:pPr>
      <w:r>
        <w:rPr>
          <w:rFonts w:cs="Arial"/>
          <w:color w:val="17365D" w:themeColor="text2" w:themeShade="BF"/>
          <w:szCs w:val="32"/>
        </w:rPr>
        <w:br w:type="page"/>
      </w:r>
      <w:bookmarkStart w:id="7" w:name="_Toc61780093"/>
      <w:r w:rsidR="00004161" w:rsidRPr="00060F89">
        <w:lastRenderedPageBreak/>
        <w:t>Ethnicity</w:t>
      </w:r>
      <w:bookmarkEnd w:id="7"/>
    </w:p>
    <w:p w14:paraId="4E90BEDF" w14:textId="50E74DEA" w:rsidR="00060F89" w:rsidRDefault="00A814CC" w:rsidP="0002229D">
      <w:pPr>
        <w:rPr>
          <w:rFonts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69BB2A4C" wp14:editId="726CCC42">
            <wp:extent cx="5534025" cy="28670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126" w:type="pct"/>
        <w:jc w:val="center"/>
        <w:tblLook w:val="04A0" w:firstRow="1" w:lastRow="0" w:firstColumn="1" w:lastColumn="0" w:noHBand="0" w:noVBand="1"/>
        <w:tblCaption w:val="All Staff Turnover by Ethnicity"/>
        <w:tblDescription w:val="Table showing the percentage and number of all staff turnover by ethnicity in 2018-19, 2017-18, 2016-17. Categories include BME, White, Prefer not to answer and unknown."/>
      </w:tblPr>
      <w:tblGrid>
        <w:gridCol w:w="1497"/>
        <w:gridCol w:w="1495"/>
        <w:gridCol w:w="1495"/>
        <w:gridCol w:w="1495"/>
        <w:gridCol w:w="1495"/>
        <w:gridCol w:w="1495"/>
      </w:tblGrid>
      <w:tr w:rsidR="00ED36F3" w:rsidRPr="00E84AEA" w14:paraId="715F7826" w14:textId="77777777" w:rsidTr="009928C6">
        <w:trPr>
          <w:trHeight w:val="317"/>
          <w:tblHeader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B27" w14:textId="77777777" w:rsidR="00ED36F3" w:rsidRPr="009928C6" w:rsidRDefault="00ED36F3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E5A" w14:textId="77777777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99" w14:textId="77777777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81C1F" w14:textId="2B2DC1E2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76218" w14:textId="6E3CB5D2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42AC" w14:textId="1AECC0A6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ED36F3" w:rsidRPr="00E84AEA" w14:paraId="1DE05BB1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AFA" w14:textId="2ED721CD" w:rsidR="00ED36F3" w:rsidRPr="009928C6" w:rsidRDefault="00ED36F3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</w:t>
            </w:r>
            <w:r w:rsidR="0049263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ME</w:t>
            </w:r>
            <w:r w:rsidRPr="009928C6">
              <w:rPr>
                <w:rStyle w:val="FootnoteReference"/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footnoteReference w:id="3"/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5EB8" w14:textId="1E004D6D" w:rsidR="00ED36F3" w:rsidRPr="009928C6" w:rsidRDefault="00AD33EE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1135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831A" w14:textId="0CA720A6" w:rsidR="00ED36F3" w:rsidRPr="009928C6" w:rsidRDefault="00AD33EE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E7189" w14:textId="7A7EB764" w:rsidR="00ED36F3" w:rsidRPr="009928C6" w:rsidRDefault="00AD33EE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FE06" w14:textId="79FB9B36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3025" w14:textId="3B6AF8A1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8%</w:t>
            </w:r>
          </w:p>
        </w:tc>
      </w:tr>
      <w:tr w:rsidR="00ED36F3" w:rsidRPr="00E84AEA" w14:paraId="6B4EF57C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085A" w14:textId="521966AD" w:rsidR="00ED36F3" w:rsidRPr="009928C6" w:rsidRDefault="00ED36F3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-Black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486D" w14:textId="528084D0" w:rsidR="00ED36F3" w:rsidRPr="009928C6" w:rsidRDefault="00ED36F3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4E5F" w14:textId="2773F67B" w:rsidR="00ED36F3" w:rsidRPr="009928C6" w:rsidRDefault="00ED36F3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37DD" w14:textId="5D33B790" w:rsidR="00ED36F3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A6503" w14:textId="41D6659E" w:rsidR="00ED36F3" w:rsidRPr="009928C6" w:rsidRDefault="00ED36F3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D70A" w14:textId="1F85038D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696E1D" w:rsidRPr="00E84AEA" w14:paraId="0DC7C3F3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8803" w14:textId="1B208E24" w:rsidR="00696E1D" w:rsidRPr="009928C6" w:rsidRDefault="00696E1D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-Asian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BF91" w14:textId="79246421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0DC4" w14:textId="04222CB8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5AC51" w14:textId="3DAE47BA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0E38" w14:textId="383CEE7B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311E" w14:textId="742596A4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696E1D" w:rsidRPr="00E84AEA" w14:paraId="5213C698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F305" w14:textId="1797A5C2" w:rsidR="00696E1D" w:rsidRPr="009928C6" w:rsidRDefault="00696E1D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-Mixed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0872" w14:textId="2E1A4F0F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BA2E" w14:textId="4257BF7A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38EA8" w14:textId="620274F9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25C77" w14:textId="4D006BC7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20E54" w14:textId="34DD2A21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696E1D" w:rsidRPr="00E84AEA" w14:paraId="5E3873A5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907B" w14:textId="692432FF" w:rsidR="00696E1D" w:rsidRPr="009928C6" w:rsidRDefault="00696E1D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-Other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A1AB" w14:textId="3B597AAC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CE93" w14:textId="72C3D9AB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556F" w14:textId="134E5C76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11%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8B2C0" w14:textId="68F482F1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1EF4" w14:textId="17BF3AA4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ED36F3" w:rsidRPr="00E84AEA" w14:paraId="03D8E79B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25E" w14:textId="77777777" w:rsidR="00ED36F3" w:rsidRPr="009928C6" w:rsidRDefault="00ED36F3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BB69" w14:textId="63222FCC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6680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8E21" w14:textId="319098BA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389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1DCC" w14:textId="6B0E3CA4" w:rsidR="00ED36F3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DC75" w14:textId="2FEA3CCC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3971" w14:textId="19ADF53D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7%</w:t>
            </w:r>
          </w:p>
        </w:tc>
      </w:tr>
      <w:tr w:rsidR="00696E1D" w:rsidRPr="00E84AEA" w14:paraId="243B9A54" w14:textId="77777777" w:rsidTr="009928C6">
        <w:trPr>
          <w:trHeight w:val="6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4A1" w14:textId="77777777" w:rsidR="00696E1D" w:rsidRPr="009928C6" w:rsidRDefault="00696E1D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B7B" w14:textId="1EEA904F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E31B" w14:textId="27AEEE68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085D4" w14:textId="47491D08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01448" w14:textId="39230416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38FC" w14:textId="1307504B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8%</w:t>
            </w:r>
          </w:p>
        </w:tc>
      </w:tr>
      <w:tr w:rsidR="00696E1D" w:rsidRPr="00E84AEA" w14:paraId="596A3DDE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4895" w14:textId="77777777" w:rsidR="00696E1D" w:rsidRPr="009928C6" w:rsidRDefault="00696E1D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B39" w14:textId="29BFF6BF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AAF0" w14:textId="4469D487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87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A254F" w14:textId="5AEB8DA7" w:rsidR="00696E1D" w:rsidRPr="009928C6" w:rsidRDefault="00696E1D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13%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A897" w14:textId="04FAD496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799F" w14:textId="0A36C921" w:rsidR="00696E1D" w:rsidRPr="009928C6" w:rsidRDefault="00696E1D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10%</w:t>
            </w:r>
          </w:p>
        </w:tc>
      </w:tr>
    </w:tbl>
    <w:p w14:paraId="517CA55B" w14:textId="77777777" w:rsidR="0002229D" w:rsidRDefault="0002229D" w:rsidP="0002229D"/>
    <w:p w14:paraId="7D7BED67" w14:textId="312E1F89" w:rsidR="00933395" w:rsidRPr="0002229D" w:rsidRDefault="00933395" w:rsidP="0002229D">
      <w:pPr>
        <w:rPr>
          <w:b/>
        </w:rPr>
      </w:pPr>
      <w:r w:rsidRPr="0002229D">
        <w:rPr>
          <w:b/>
        </w:rPr>
        <w:t>Commentary</w:t>
      </w:r>
    </w:p>
    <w:p w14:paraId="727CE99B" w14:textId="63F46ACF" w:rsidR="005F5B7E" w:rsidRDefault="0077076E" w:rsidP="0002229D">
      <w:pPr>
        <w:spacing w:line="360" w:lineRule="auto"/>
        <w:rPr>
          <w:rFonts w:cs="Arial"/>
        </w:rPr>
      </w:pPr>
      <w:r>
        <w:t xml:space="preserve">During the academic year </w:t>
      </w:r>
      <w:r w:rsidR="002B11A3">
        <w:t>201</w:t>
      </w:r>
      <w:r w:rsidR="00EA7D46">
        <w:t>9</w:t>
      </w:r>
      <w:r w:rsidR="002B11A3">
        <w:t>-</w:t>
      </w:r>
      <w:r w:rsidR="00EA7D46">
        <w:t>20</w:t>
      </w:r>
      <w:r>
        <w:t xml:space="preserve"> o</w:t>
      </w:r>
      <w:r w:rsidR="00422A65" w:rsidRPr="0077076E">
        <w:t>f the total staff population who declar</w:t>
      </w:r>
      <w:r>
        <w:t xml:space="preserve">ed their ethnicity as </w:t>
      </w:r>
      <w:r w:rsidR="002B11A3">
        <w:t xml:space="preserve">White, </w:t>
      </w:r>
      <w:r w:rsidR="00EA7D46">
        <w:t>6</w:t>
      </w:r>
      <w:r w:rsidR="00422A65" w:rsidRPr="0077076E">
        <w:t>% resigned</w:t>
      </w:r>
      <w:r>
        <w:t xml:space="preserve"> (</w:t>
      </w:r>
      <w:r w:rsidR="00EA7D46">
        <w:t>8</w:t>
      </w:r>
      <w:r w:rsidR="0028432E" w:rsidRPr="0077076E">
        <w:t>%, 201</w:t>
      </w:r>
      <w:r w:rsidR="00EA7D46">
        <w:t>8</w:t>
      </w:r>
      <w:r w:rsidR="0028432E" w:rsidRPr="0077076E">
        <w:t>-1</w:t>
      </w:r>
      <w:r w:rsidR="00EA7D46">
        <w:t>9</w:t>
      </w:r>
      <w:r w:rsidR="007409B7" w:rsidRPr="0077076E">
        <w:t>)</w:t>
      </w:r>
      <w:r w:rsidR="00422A65" w:rsidRPr="0077076E">
        <w:t>.</w:t>
      </w:r>
      <w:r w:rsidR="00985EA9">
        <w:t xml:space="preserve"> </w:t>
      </w:r>
      <w:r>
        <w:t>Of the</w:t>
      </w:r>
      <w:r w:rsidR="00422A65" w:rsidRPr="0077076E">
        <w:t xml:space="preserve"> total staff population who declared their ethnicity </w:t>
      </w:r>
      <w:r w:rsidR="007409B7" w:rsidRPr="0077076E">
        <w:t xml:space="preserve">as </w:t>
      </w:r>
      <w:r w:rsidR="00492633">
        <w:t>Black, Asian, Mixed or Other</w:t>
      </w:r>
      <w:r w:rsidR="00422A65" w:rsidRPr="0077076E">
        <w:t xml:space="preserve">, </w:t>
      </w:r>
      <w:r w:rsidR="00492633">
        <w:t>7</w:t>
      </w:r>
      <w:r w:rsidR="00422A65" w:rsidRPr="0077076E">
        <w:t xml:space="preserve">% resigned, </w:t>
      </w:r>
      <w:r w:rsidR="00492633">
        <w:t>(8% 2018-19).</w:t>
      </w:r>
      <w:r w:rsidR="0002229D" w:rsidRPr="00C27958">
        <w:rPr>
          <w:rFonts w:cs="Arial"/>
        </w:rPr>
        <w:t xml:space="preserve"> </w:t>
      </w:r>
      <w:r w:rsidR="00985EA9">
        <w:rPr>
          <w:rFonts w:cs="Arial"/>
        </w:rPr>
        <w:t>This year, turnover is also shown for Black, Asian, Mixed and Other staff groups separately.</w:t>
      </w:r>
    </w:p>
    <w:p w14:paraId="3D1ACB48" w14:textId="6B8770F0" w:rsidR="00422A65" w:rsidRDefault="00422A65" w:rsidP="0002229D">
      <w:pPr>
        <w:pStyle w:val="Heading2"/>
      </w:pPr>
      <w:bookmarkStart w:id="9" w:name="_Toc61780094"/>
      <w:r w:rsidRPr="0077076E">
        <w:lastRenderedPageBreak/>
        <w:t>Gender</w:t>
      </w:r>
      <w:bookmarkEnd w:id="9"/>
    </w:p>
    <w:p w14:paraId="2A6DF31F" w14:textId="4A37859B" w:rsidR="00511DFF" w:rsidRPr="00C27958" w:rsidRDefault="00003E43" w:rsidP="0002229D">
      <w:pPr>
        <w:rPr>
          <w:rFonts w:cs="Arial"/>
          <w:lang w:eastAsia="en-GB"/>
        </w:rPr>
      </w:pPr>
      <w:r>
        <w:rPr>
          <w:noProof/>
          <w:lang w:eastAsia="en-GB"/>
        </w:rPr>
        <w:drawing>
          <wp:inline distT="0" distB="0" distL="0" distR="0" wp14:anchorId="39A9B21A" wp14:editId="52E4E5BA">
            <wp:extent cx="5219700" cy="33147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4679" w:type="pct"/>
        <w:tblLook w:val="04A0" w:firstRow="1" w:lastRow="0" w:firstColumn="1" w:lastColumn="0" w:noHBand="0" w:noVBand="1"/>
        <w:tblCaption w:val="All Staff Turnover by Gender"/>
        <w:tblDescription w:val="Table showing percentage and number of all staff turnover by gender in 2018-29, 2017-18, 2016-17. Categories include female and male."/>
      </w:tblPr>
      <w:tblGrid>
        <w:gridCol w:w="1732"/>
        <w:gridCol w:w="1363"/>
        <w:gridCol w:w="1323"/>
        <w:gridCol w:w="1257"/>
        <w:gridCol w:w="1257"/>
        <w:gridCol w:w="1257"/>
      </w:tblGrid>
      <w:tr w:rsidR="007F0ABA" w:rsidRPr="00E84AEA" w14:paraId="0394A747" w14:textId="77777777" w:rsidTr="009928C6">
        <w:trPr>
          <w:trHeight w:val="317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838" w14:textId="77777777" w:rsidR="007F0ABA" w:rsidRPr="009928C6" w:rsidRDefault="007F0ABA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BEA" w14:textId="77777777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53D" w14:textId="77777777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59FF" w14:textId="6080E782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FBF4" w14:textId="08AF973B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4F12" w14:textId="3E615B72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7F0ABA" w:rsidRPr="00E84AEA" w14:paraId="51E3044F" w14:textId="77777777" w:rsidTr="009928C6">
        <w:trPr>
          <w:trHeight w:val="300"/>
          <w:tblHeader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FD4" w14:textId="574ECE61" w:rsidR="007F0ABA" w:rsidRPr="009928C6" w:rsidRDefault="007F0ABA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B55" w14:textId="05504CF0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5034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2456" w14:textId="74A443AA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355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DD134" w14:textId="18AC10E7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A7" w14:textId="400E61E1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C385" w14:textId="1BD57EA8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8%</w:t>
            </w:r>
          </w:p>
        </w:tc>
      </w:tr>
      <w:tr w:rsidR="007F0ABA" w:rsidRPr="00E84AEA" w14:paraId="658ACD27" w14:textId="77777777" w:rsidTr="009928C6">
        <w:trPr>
          <w:trHeight w:val="300"/>
          <w:tblHeader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E0F" w14:textId="6788E9BA" w:rsidR="007F0ABA" w:rsidRPr="009928C6" w:rsidRDefault="007F0ABA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360" w14:textId="0A7B72B8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4171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0A757" w14:textId="3CECB0C5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245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B7D41" w14:textId="1C112AD6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A2A69" w14:textId="2CDF70EA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8C0B" w14:textId="1626C898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6%</w:t>
            </w:r>
          </w:p>
        </w:tc>
      </w:tr>
      <w:tr w:rsidR="007F0ABA" w:rsidRPr="00E84AEA" w14:paraId="17FD5083" w14:textId="77777777" w:rsidTr="009928C6">
        <w:trPr>
          <w:trHeight w:val="300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2389" w14:textId="247C870A" w:rsidR="007F0ABA" w:rsidRPr="009928C6" w:rsidRDefault="007F0ABA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 xml:space="preserve">Gender </w:t>
            </w:r>
            <w:r w:rsidR="00EE3D59">
              <w:rPr>
                <w:rFonts w:cs="Arial"/>
                <w:b/>
                <w:bCs/>
                <w:color w:val="000000"/>
                <w:szCs w:val="24"/>
              </w:rPr>
              <w:t>f</w:t>
            </w:r>
            <w:r w:rsidRPr="009928C6">
              <w:rPr>
                <w:rFonts w:cs="Arial"/>
                <w:b/>
                <w:bCs/>
                <w:color w:val="000000"/>
                <w:szCs w:val="24"/>
              </w:rPr>
              <w:t>luid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13BD" w14:textId="08624D99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12C0" w14:textId="3E478ED2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6BBD" w14:textId="59A52111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878" w14:textId="5DD41778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3977" w14:textId="15C97E66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7F0ABA" w:rsidRPr="00E84AEA" w14:paraId="666E4F0C" w14:textId="77777777" w:rsidTr="009928C6">
        <w:trPr>
          <w:trHeight w:val="300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6570" w14:textId="3CFFB9D4" w:rsidR="007F0ABA" w:rsidRPr="009928C6" w:rsidRDefault="00B24D48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Non </w:t>
            </w:r>
            <w:r w:rsidR="007F0ABA" w:rsidRPr="009928C6">
              <w:rPr>
                <w:rFonts w:cs="Arial"/>
                <w:b/>
                <w:bCs/>
                <w:color w:val="000000"/>
                <w:szCs w:val="24"/>
              </w:rPr>
              <w:t>binary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6E33" w14:textId="37B88A0D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85C0" w14:textId="3D94F77B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85B" w14:textId="2EF27466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DD2" w14:textId="6CA05BEC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4750" w14:textId="169E2739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7F0ABA" w:rsidRPr="00E84AEA" w14:paraId="11469A6E" w14:textId="77777777" w:rsidTr="009928C6">
        <w:trPr>
          <w:trHeight w:val="300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8279" w14:textId="16E6EC99" w:rsidR="007F0ABA" w:rsidRPr="009928C6" w:rsidRDefault="007F0ABA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047D" w14:textId="340F64ED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39E1" w14:textId="4D9FAC8B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36B4" w14:textId="26684420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39FD" w14:textId="5EF35D0D" w:rsidR="007F0ABA" w:rsidRPr="009928C6" w:rsidRDefault="007F0AB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832A" w14:textId="4C5376D2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</w:tbl>
    <w:p w14:paraId="407E285F" w14:textId="77777777" w:rsidR="0002229D" w:rsidRDefault="0002229D" w:rsidP="0002229D">
      <w:pPr>
        <w:rPr>
          <w:rFonts w:cs="Arial"/>
          <w:b/>
          <w:szCs w:val="24"/>
        </w:rPr>
      </w:pPr>
    </w:p>
    <w:p w14:paraId="60AE39D5" w14:textId="157B9134" w:rsidR="007409B7" w:rsidRPr="0002229D" w:rsidRDefault="007409B7" w:rsidP="0002229D">
      <w:pPr>
        <w:rPr>
          <w:rFonts w:cs="Arial"/>
          <w:b/>
          <w:szCs w:val="24"/>
        </w:rPr>
      </w:pPr>
      <w:r w:rsidRPr="0002229D">
        <w:rPr>
          <w:rFonts w:cs="Arial"/>
          <w:b/>
          <w:szCs w:val="24"/>
        </w:rPr>
        <w:t>Commentary</w:t>
      </w:r>
    </w:p>
    <w:p w14:paraId="3208CA67" w14:textId="47250B07" w:rsidR="00422A65" w:rsidRPr="00B519B7" w:rsidRDefault="00F17C95" w:rsidP="0002229D">
      <w:pPr>
        <w:spacing w:line="36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Turnover was</w:t>
      </w:r>
      <w:r w:rsidR="00B519B7" w:rsidRPr="00B519B7">
        <w:rPr>
          <w:rFonts w:cs="Arial"/>
          <w:color w:val="000000" w:themeColor="text1"/>
          <w:szCs w:val="24"/>
        </w:rPr>
        <w:t xml:space="preserve"> </w:t>
      </w:r>
      <w:r w:rsidR="001542B6">
        <w:rPr>
          <w:rFonts w:cs="Arial"/>
          <w:color w:val="000000" w:themeColor="text1"/>
          <w:szCs w:val="24"/>
        </w:rPr>
        <w:t>7</w:t>
      </w:r>
      <w:r w:rsidR="00422A65" w:rsidRPr="00B519B7">
        <w:rPr>
          <w:rFonts w:cs="Arial"/>
          <w:color w:val="000000" w:themeColor="text1"/>
          <w:szCs w:val="24"/>
        </w:rPr>
        <w:t>%</w:t>
      </w:r>
      <w:r w:rsidR="00507FEB">
        <w:rPr>
          <w:rFonts w:cs="Arial"/>
          <w:color w:val="000000" w:themeColor="text1"/>
          <w:szCs w:val="24"/>
        </w:rPr>
        <w:t xml:space="preserve"> </w:t>
      </w:r>
      <w:r w:rsidR="007409B7" w:rsidRPr="00B519B7">
        <w:rPr>
          <w:rFonts w:cs="Arial"/>
          <w:color w:val="000000" w:themeColor="text1"/>
          <w:szCs w:val="24"/>
        </w:rPr>
        <w:t>f</w:t>
      </w:r>
      <w:r>
        <w:rPr>
          <w:rFonts w:cs="Arial"/>
          <w:color w:val="000000" w:themeColor="text1"/>
          <w:szCs w:val="24"/>
        </w:rPr>
        <w:t>or</w:t>
      </w:r>
      <w:r w:rsidR="007409B7" w:rsidRPr="00B519B7">
        <w:rPr>
          <w:rFonts w:cs="Arial"/>
          <w:color w:val="000000" w:themeColor="text1"/>
          <w:szCs w:val="24"/>
        </w:rPr>
        <w:t xml:space="preserve"> female staff </w:t>
      </w:r>
      <w:r w:rsidR="00A918A6">
        <w:rPr>
          <w:rFonts w:cs="Arial"/>
          <w:color w:val="000000" w:themeColor="text1"/>
          <w:szCs w:val="24"/>
        </w:rPr>
        <w:t>(8</w:t>
      </w:r>
      <w:r w:rsidR="00A918A6" w:rsidRPr="00B519B7">
        <w:rPr>
          <w:rFonts w:cs="Arial"/>
          <w:color w:val="000000" w:themeColor="text1"/>
          <w:szCs w:val="24"/>
        </w:rPr>
        <w:t>%, 201</w:t>
      </w:r>
      <w:r w:rsidR="001542B6">
        <w:rPr>
          <w:rFonts w:cs="Arial"/>
          <w:color w:val="000000" w:themeColor="text1"/>
          <w:szCs w:val="24"/>
        </w:rPr>
        <w:t>8</w:t>
      </w:r>
      <w:r w:rsidR="00A918A6" w:rsidRPr="00B519B7">
        <w:rPr>
          <w:rFonts w:cs="Arial"/>
          <w:color w:val="000000" w:themeColor="text1"/>
          <w:szCs w:val="24"/>
        </w:rPr>
        <w:t>-1</w:t>
      </w:r>
      <w:r w:rsidR="001542B6">
        <w:rPr>
          <w:rFonts w:cs="Arial"/>
          <w:color w:val="000000" w:themeColor="text1"/>
          <w:szCs w:val="24"/>
        </w:rPr>
        <w:t>9</w:t>
      </w:r>
      <w:r w:rsidR="00A918A6" w:rsidRPr="00B519B7">
        <w:rPr>
          <w:rFonts w:cs="Arial"/>
          <w:color w:val="000000" w:themeColor="text1"/>
          <w:szCs w:val="24"/>
        </w:rPr>
        <w:t xml:space="preserve">) </w:t>
      </w:r>
      <w:r w:rsidR="007409B7" w:rsidRPr="00B519B7">
        <w:rPr>
          <w:rFonts w:cs="Arial"/>
          <w:color w:val="000000" w:themeColor="text1"/>
          <w:szCs w:val="24"/>
        </w:rPr>
        <w:t xml:space="preserve">and </w:t>
      </w:r>
      <w:r w:rsidR="001542B6">
        <w:rPr>
          <w:rFonts w:cs="Arial"/>
          <w:color w:val="000000" w:themeColor="text1"/>
          <w:szCs w:val="24"/>
        </w:rPr>
        <w:t>6</w:t>
      </w:r>
      <w:r>
        <w:rPr>
          <w:rFonts w:cs="Arial"/>
          <w:color w:val="000000" w:themeColor="text1"/>
          <w:szCs w:val="24"/>
        </w:rPr>
        <w:t>% for</w:t>
      </w:r>
      <w:r w:rsidR="00422A65" w:rsidRPr="00B519B7">
        <w:rPr>
          <w:rFonts w:cs="Arial"/>
          <w:color w:val="000000" w:themeColor="text1"/>
          <w:szCs w:val="24"/>
        </w:rPr>
        <w:t xml:space="preserve"> male</w:t>
      </w:r>
      <w:r>
        <w:rPr>
          <w:rFonts w:cs="Arial"/>
          <w:color w:val="000000" w:themeColor="text1"/>
          <w:szCs w:val="24"/>
        </w:rPr>
        <w:t xml:space="preserve"> st</w:t>
      </w:r>
      <w:r w:rsidR="00422A65" w:rsidRPr="00B519B7">
        <w:rPr>
          <w:rFonts w:cs="Arial"/>
          <w:color w:val="000000" w:themeColor="text1"/>
          <w:szCs w:val="24"/>
        </w:rPr>
        <w:t>aff</w:t>
      </w:r>
      <w:r>
        <w:rPr>
          <w:rFonts w:cs="Arial"/>
          <w:color w:val="000000" w:themeColor="text1"/>
          <w:szCs w:val="24"/>
        </w:rPr>
        <w:t xml:space="preserve"> </w:t>
      </w:r>
      <w:r w:rsidR="007409B7" w:rsidRPr="00B519B7">
        <w:rPr>
          <w:rFonts w:cs="Arial"/>
          <w:color w:val="000000" w:themeColor="text1"/>
          <w:szCs w:val="24"/>
        </w:rPr>
        <w:t>(</w:t>
      </w:r>
      <w:r w:rsidR="001542B6">
        <w:rPr>
          <w:rFonts w:cs="Arial"/>
          <w:color w:val="000000" w:themeColor="text1"/>
          <w:szCs w:val="24"/>
        </w:rPr>
        <w:t>7</w:t>
      </w:r>
      <w:r w:rsidR="0093553B" w:rsidRPr="00B519B7">
        <w:rPr>
          <w:rFonts w:cs="Arial"/>
          <w:color w:val="000000" w:themeColor="text1"/>
          <w:szCs w:val="24"/>
        </w:rPr>
        <w:t>% 201</w:t>
      </w:r>
      <w:r w:rsidR="001542B6">
        <w:rPr>
          <w:rFonts w:cs="Arial"/>
          <w:color w:val="000000" w:themeColor="text1"/>
          <w:szCs w:val="24"/>
        </w:rPr>
        <w:t>8</w:t>
      </w:r>
      <w:r w:rsidR="0093553B" w:rsidRPr="00B519B7">
        <w:rPr>
          <w:rFonts w:cs="Arial"/>
          <w:color w:val="000000" w:themeColor="text1"/>
          <w:szCs w:val="24"/>
        </w:rPr>
        <w:t>-1</w:t>
      </w:r>
      <w:r w:rsidR="001542B6">
        <w:rPr>
          <w:rFonts w:cs="Arial"/>
          <w:color w:val="000000" w:themeColor="text1"/>
          <w:szCs w:val="24"/>
        </w:rPr>
        <w:t>9</w:t>
      </w:r>
      <w:r w:rsidR="007409B7" w:rsidRPr="00B519B7">
        <w:rPr>
          <w:rFonts w:cs="Arial"/>
          <w:color w:val="000000" w:themeColor="text1"/>
          <w:szCs w:val="24"/>
        </w:rPr>
        <w:t xml:space="preserve">) </w:t>
      </w:r>
      <w:r w:rsidR="00B519B7" w:rsidRPr="00B519B7">
        <w:rPr>
          <w:rFonts w:cs="Arial"/>
          <w:color w:val="000000" w:themeColor="text1"/>
          <w:szCs w:val="24"/>
        </w:rPr>
        <w:t>during 201</w:t>
      </w:r>
      <w:r w:rsidR="001542B6">
        <w:rPr>
          <w:rFonts w:cs="Arial"/>
          <w:color w:val="000000" w:themeColor="text1"/>
          <w:szCs w:val="24"/>
        </w:rPr>
        <w:t>9</w:t>
      </w:r>
      <w:r w:rsidR="00507FEB">
        <w:rPr>
          <w:rFonts w:cs="Arial"/>
          <w:color w:val="000000" w:themeColor="text1"/>
          <w:szCs w:val="24"/>
        </w:rPr>
        <w:t>-</w:t>
      </w:r>
      <w:r w:rsidR="001542B6">
        <w:rPr>
          <w:rFonts w:cs="Arial"/>
          <w:color w:val="000000" w:themeColor="text1"/>
          <w:szCs w:val="24"/>
        </w:rPr>
        <w:t>20</w:t>
      </w:r>
      <w:r w:rsidR="00B519B7" w:rsidRPr="00B519B7">
        <w:rPr>
          <w:rFonts w:cs="Arial"/>
          <w:color w:val="000000" w:themeColor="text1"/>
          <w:szCs w:val="24"/>
        </w:rPr>
        <w:t>.</w:t>
      </w:r>
      <w:r w:rsidR="001542B6">
        <w:rPr>
          <w:rFonts w:cs="Arial"/>
          <w:color w:val="000000" w:themeColor="text1"/>
          <w:szCs w:val="24"/>
        </w:rPr>
        <w:t xml:space="preserve"> This year, additional gender categories were available. No staff who are gender fluid, non binary or other gender resigned. </w:t>
      </w:r>
    </w:p>
    <w:p w14:paraId="164993CF" w14:textId="77777777" w:rsidR="00422A65" w:rsidRPr="00C27958" w:rsidRDefault="00422A65" w:rsidP="0002229D">
      <w:pPr>
        <w:rPr>
          <w:rFonts w:cs="Arial"/>
          <w:b/>
          <w:color w:val="000000" w:themeColor="text1"/>
          <w:sz w:val="22"/>
        </w:rPr>
      </w:pPr>
    </w:p>
    <w:p w14:paraId="21C13F42" w14:textId="77777777" w:rsidR="006F74BF" w:rsidRDefault="006F74BF" w:rsidP="0002229D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b/>
          <w:color w:val="17365D" w:themeColor="text2" w:themeShade="BF"/>
          <w:sz w:val="32"/>
          <w:szCs w:val="32"/>
        </w:rPr>
        <w:br w:type="page"/>
      </w:r>
    </w:p>
    <w:p w14:paraId="1FB81D21" w14:textId="58B48E3A" w:rsidR="00216150" w:rsidRPr="00C27958" w:rsidRDefault="00216150" w:rsidP="0002229D">
      <w:pPr>
        <w:pStyle w:val="Heading2"/>
      </w:pPr>
      <w:bookmarkStart w:id="10" w:name="_Toc61780095"/>
      <w:r w:rsidRPr="00B519B7">
        <w:lastRenderedPageBreak/>
        <w:t>Religion</w:t>
      </w:r>
      <w:r w:rsidRPr="00C27958">
        <w:t xml:space="preserve"> </w:t>
      </w:r>
      <w:r w:rsidR="00052E0D" w:rsidRPr="004141B5">
        <w:t>or Belief</w:t>
      </w:r>
      <w:bookmarkEnd w:id="10"/>
    </w:p>
    <w:p w14:paraId="0A81146D" w14:textId="7324F138" w:rsidR="00E84AEA" w:rsidRPr="00C27958" w:rsidRDefault="00272C76" w:rsidP="0002229D">
      <w:r>
        <w:rPr>
          <w:noProof/>
          <w:lang w:eastAsia="en-GB"/>
        </w:rPr>
        <w:drawing>
          <wp:inline distT="0" distB="0" distL="0" distR="0" wp14:anchorId="1CED3148" wp14:editId="346CDCDD">
            <wp:extent cx="5495925" cy="3543300"/>
            <wp:effectExtent l="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ll Staff Turnover by Religion or Belief"/>
        <w:tblDescription w:val="Table showing the percentage and number of all staff turnover by religion or belief in 2018-19, 2017-18, 2016-17. Categories include Buddhist, Christian, Hindu, Jewish, Muslim, Sikh, Other, None, Prefer not to answer and Unknown. "/>
      </w:tblPr>
      <w:tblGrid>
        <w:gridCol w:w="1464"/>
        <w:gridCol w:w="1538"/>
        <w:gridCol w:w="1495"/>
        <w:gridCol w:w="1418"/>
        <w:gridCol w:w="1418"/>
        <w:gridCol w:w="1418"/>
      </w:tblGrid>
      <w:tr w:rsidR="001942A5" w:rsidRPr="0002229D" w14:paraId="58E71C23" w14:textId="77777777" w:rsidTr="009928C6">
        <w:trPr>
          <w:trHeight w:val="312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B2A" w14:textId="77777777" w:rsidR="001942A5" w:rsidRPr="00EA32E7" w:rsidRDefault="001942A5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B43" w14:textId="77777777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DB3D" w14:textId="77777777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98EF9" w14:textId="4BC7C76C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4BC41" w14:textId="1A54D2D9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7B17" w14:textId="336CC81C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EA32E7" w:rsidRPr="0002229D" w14:paraId="7042A7C6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A82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Buddhist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075D" w14:textId="55651EBE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6855" w14:textId="23593C76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D176C" w14:textId="5CAF6E87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BD359" w14:textId="2C5EAC84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12%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4DEF" w14:textId="4B96F117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11%</w:t>
            </w:r>
          </w:p>
        </w:tc>
      </w:tr>
      <w:tr w:rsidR="00EA32E7" w:rsidRPr="0002229D" w14:paraId="7E852DE8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843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Christian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3A62" w14:textId="5DC808BC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2161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857D" w14:textId="5E040224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112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A78D" w14:textId="5130275B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5BBA9" w14:textId="5C487169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D59E" w14:textId="72D7EEEC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7%</w:t>
            </w:r>
          </w:p>
        </w:tc>
      </w:tr>
      <w:tr w:rsidR="00EA32E7" w:rsidRPr="0002229D" w14:paraId="2B307E76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7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Hindu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8311" w14:textId="47C291E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F227" w14:textId="0E6339B6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ECC10" w14:textId="3F62A0A1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4FF9C" w14:textId="72AFC754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86E1" w14:textId="4E2D19D6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7%</w:t>
            </w:r>
          </w:p>
        </w:tc>
      </w:tr>
      <w:tr w:rsidR="00EA32E7" w:rsidRPr="0002229D" w14:paraId="1ED621ED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C45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Jewish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73E" w14:textId="2F6CBF5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38E2" w14:textId="79F443F0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8D3AF" w14:textId="45B920C5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7A249" w14:textId="0767670B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1B41" w14:textId="790EC77B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2%</w:t>
            </w:r>
          </w:p>
        </w:tc>
      </w:tr>
      <w:tr w:rsidR="00EA32E7" w:rsidRPr="0002229D" w14:paraId="08D3179E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22C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Muslim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29FE" w14:textId="549FBDC4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BE1A" w14:textId="0F3FFCDF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11CB0" w14:textId="6A2B0F10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ACB8C" w14:textId="130DAD6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DA90" w14:textId="0AE993E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13%</w:t>
            </w:r>
          </w:p>
        </w:tc>
      </w:tr>
      <w:tr w:rsidR="00EA32E7" w:rsidRPr="0002229D" w14:paraId="60B83EAC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B18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Sikh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F04" w14:textId="4A4611FC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C83E" w14:textId="7D2CBB06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42C63" w14:textId="10EDCF6D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464CB" w14:textId="2176332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B98E" w14:textId="0DBF852A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8%</w:t>
            </w:r>
          </w:p>
        </w:tc>
      </w:tr>
      <w:tr w:rsidR="00EA32E7" w:rsidRPr="0002229D" w14:paraId="55ACB581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3525" w14:textId="3881CBC3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Spiritual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8191" w14:textId="614106C0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6934" w14:textId="16ACD71C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1E76A" w14:textId="0E3B50AF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994FC" w14:textId="2577C309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A32E7"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37A6" w14:textId="1E09B0D3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EA32E7" w:rsidRPr="0002229D" w14:paraId="10C4794A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7C0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D5D" w14:textId="2F0174A6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3570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5C6F8" w14:textId="65E4C9B0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223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FA58E" w14:textId="1492F303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2EC2" w14:textId="5897C1B8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C713" w14:textId="317B6CA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8%</w:t>
            </w:r>
          </w:p>
        </w:tc>
      </w:tr>
      <w:tr w:rsidR="00EA32E7" w:rsidRPr="0002229D" w14:paraId="39F3D38E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4C1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Other religion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F4C7" w14:textId="63E5A3BE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161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803D" w14:textId="7BC795C6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0B99B" w14:textId="64817EB9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71DF" w14:textId="14AF2024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10%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6712" w14:textId="0025B34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6%</w:t>
            </w:r>
          </w:p>
        </w:tc>
      </w:tr>
      <w:tr w:rsidR="00EA32E7" w:rsidRPr="0002229D" w14:paraId="03D8E52A" w14:textId="77777777" w:rsidTr="009928C6">
        <w:trPr>
          <w:trHeight w:val="591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DC9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A1A1" w14:textId="20D927FB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1029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A6FB" w14:textId="45DF7BE2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67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214D6" w14:textId="56E767BB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A8B65" w14:textId="088D2F73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D103" w14:textId="45CF46C3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9%</w:t>
            </w:r>
          </w:p>
        </w:tc>
      </w:tr>
      <w:tr w:rsidR="00EA32E7" w:rsidRPr="0002229D" w14:paraId="30836D6E" w14:textId="77777777" w:rsidTr="009928C6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DA3" w14:textId="77777777" w:rsidR="00EA32E7" w:rsidRPr="00EA32E7" w:rsidRDefault="00EA32E7" w:rsidP="009928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497" w14:textId="2049E252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1843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3E8C" w14:textId="4D7C2EF1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153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7E3CC" w14:textId="068359B0" w:rsidR="00EA32E7" w:rsidRPr="00EA32E7" w:rsidRDefault="00EA32E7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B31DC" w14:textId="6CC62936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4499" w14:textId="4A227264" w:rsidR="00EA32E7" w:rsidRPr="00EA32E7" w:rsidRDefault="00EA32E7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color w:val="000000"/>
                <w:szCs w:val="24"/>
                <w:lang w:eastAsia="en-GB"/>
              </w:rPr>
              <w:t>5%</w:t>
            </w:r>
          </w:p>
        </w:tc>
      </w:tr>
    </w:tbl>
    <w:p w14:paraId="4DE79126" w14:textId="77777777" w:rsidR="0002229D" w:rsidRDefault="0002229D" w:rsidP="0002229D">
      <w:pPr>
        <w:rPr>
          <w:b/>
        </w:rPr>
      </w:pPr>
    </w:p>
    <w:p w14:paraId="4F61DD74" w14:textId="77777777" w:rsidR="001974BF" w:rsidRDefault="001974BF" w:rsidP="0002229D">
      <w:pPr>
        <w:rPr>
          <w:b/>
        </w:rPr>
      </w:pPr>
    </w:p>
    <w:p w14:paraId="418B1B1A" w14:textId="23BABCBE" w:rsidR="007417E1" w:rsidRPr="0002229D" w:rsidRDefault="007417E1" w:rsidP="0002229D">
      <w:pPr>
        <w:rPr>
          <w:b/>
        </w:rPr>
      </w:pPr>
      <w:r w:rsidRPr="0002229D">
        <w:rPr>
          <w:b/>
        </w:rPr>
        <w:lastRenderedPageBreak/>
        <w:t xml:space="preserve">Commentary </w:t>
      </w:r>
    </w:p>
    <w:p w14:paraId="109B8692" w14:textId="61FD981E" w:rsidR="000A3438" w:rsidRDefault="00D14BDF" w:rsidP="0002229D">
      <w:pPr>
        <w:spacing w:line="360" w:lineRule="auto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During the academic year 201</w:t>
      </w:r>
      <w:r w:rsidR="007A0B28">
        <w:rPr>
          <w:rFonts w:eastAsiaTheme="majorEastAsia"/>
          <w:bCs/>
          <w:color w:val="000000" w:themeColor="text1"/>
        </w:rPr>
        <w:t>9</w:t>
      </w:r>
      <w:r w:rsidR="00A3508E">
        <w:rPr>
          <w:rFonts w:eastAsiaTheme="majorEastAsia"/>
          <w:bCs/>
          <w:color w:val="000000" w:themeColor="text1"/>
        </w:rPr>
        <w:t>-</w:t>
      </w:r>
      <w:r w:rsidR="007A0B28">
        <w:rPr>
          <w:rFonts w:eastAsiaTheme="majorEastAsia"/>
          <w:bCs/>
          <w:color w:val="000000" w:themeColor="text1"/>
        </w:rPr>
        <w:t>20</w:t>
      </w:r>
      <w:r w:rsidR="00A3508E">
        <w:rPr>
          <w:rFonts w:eastAsiaTheme="majorEastAsia"/>
          <w:bCs/>
          <w:color w:val="000000" w:themeColor="text1"/>
        </w:rPr>
        <w:t>, t</w:t>
      </w:r>
      <w:r w:rsidR="00422A65" w:rsidRPr="00B519B7">
        <w:rPr>
          <w:rFonts w:eastAsiaTheme="majorEastAsia"/>
          <w:bCs/>
          <w:color w:val="000000" w:themeColor="text1"/>
        </w:rPr>
        <w:t>he largest turnover rate</w:t>
      </w:r>
      <w:r w:rsidR="00A3508E">
        <w:rPr>
          <w:rFonts w:eastAsiaTheme="majorEastAsia"/>
          <w:bCs/>
          <w:color w:val="000000" w:themeColor="text1"/>
        </w:rPr>
        <w:t xml:space="preserve"> was amongst </w:t>
      </w:r>
      <w:r w:rsidR="007E3D64">
        <w:rPr>
          <w:rFonts w:eastAsiaTheme="majorEastAsia"/>
          <w:bCs/>
          <w:color w:val="000000" w:themeColor="text1"/>
        </w:rPr>
        <w:t>Hi</w:t>
      </w:r>
      <w:r w:rsidR="00F15E1F">
        <w:rPr>
          <w:rFonts w:eastAsiaTheme="majorEastAsia"/>
          <w:bCs/>
          <w:color w:val="000000" w:themeColor="text1"/>
        </w:rPr>
        <w:t>ndu and Other religion, both at 9</w:t>
      </w:r>
      <w:r>
        <w:rPr>
          <w:rFonts w:eastAsiaTheme="majorEastAsia"/>
          <w:bCs/>
          <w:color w:val="000000" w:themeColor="text1"/>
        </w:rPr>
        <w:t>%</w:t>
      </w:r>
      <w:r w:rsidR="005D1512">
        <w:rPr>
          <w:rFonts w:eastAsiaTheme="majorEastAsia"/>
          <w:bCs/>
          <w:color w:val="000000" w:themeColor="text1"/>
        </w:rPr>
        <w:t xml:space="preserve">. </w:t>
      </w:r>
      <w:r w:rsidR="00953B72">
        <w:rPr>
          <w:rFonts w:eastAsiaTheme="majorEastAsia"/>
          <w:bCs/>
          <w:color w:val="000000" w:themeColor="text1"/>
        </w:rPr>
        <w:t>The lowest turnover rate was for Spiritual staff (new category) where no staff resigned.</w:t>
      </w:r>
      <w:r w:rsidR="005D1512">
        <w:rPr>
          <w:rFonts w:eastAsiaTheme="majorEastAsia"/>
          <w:bCs/>
          <w:color w:val="000000" w:themeColor="text1"/>
        </w:rPr>
        <w:t xml:space="preserve"> </w:t>
      </w:r>
    </w:p>
    <w:p w14:paraId="01231C85" w14:textId="77777777" w:rsidR="0002229D" w:rsidRDefault="00532EA0" w:rsidP="0002229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Whilst these data are</w:t>
      </w:r>
      <w:r w:rsidR="005D1512">
        <w:rPr>
          <w:color w:val="000000" w:themeColor="text1"/>
        </w:rPr>
        <w:t xml:space="preserve"> provided for transparency, it should be noted that due to the low number of staff in some categories, i</w:t>
      </w:r>
      <w:r w:rsidR="00B01DB8">
        <w:rPr>
          <w:color w:val="000000" w:themeColor="text1"/>
        </w:rPr>
        <w:t>t</w:t>
      </w:r>
      <w:r w:rsidR="005D1512">
        <w:rPr>
          <w:color w:val="000000" w:themeColor="text1"/>
        </w:rPr>
        <w:t xml:space="preserve"> </w:t>
      </w:r>
      <w:r w:rsidR="001921D2">
        <w:rPr>
          <w:color w:val="000000" w:themeColor="text1"/>
        </w:rPr>
        <w:t>may be</w:t>
      </w:r>
      <w:r w:rsidR="005D1512">
        <w:rPr>
          <w:color w:val="000000" w:themeColor="text1"/>
        </w:rPr>
        <w:t xml:space="preserve"> difficult to drawn meaningful conclusions when </w:t>
      </w:r>
      <w:r w:rsidR="0013354F">
        <w:rPr>
          <w:color w:val="000000" w:themeColor="text1"/>
        </w:rPr>
        <w:t>comparing</w:t>
      </w:r>
      <w:r>
        <w:rPr>
          <w:color w:val="000000" w:themeColor="text1"/>
        </w:rPr>
        <w:t xml:space="preserve"> </w:t>
      </w:r>
      <w:r w:rsidR="005D1512">
        <w:rPr>
          <w:color w:val="000000" w:themeColor="text1"/>
        </w:rPr>
        <w:t xml:space="preserve">across academic years. </w:t>
      </w:r>
    </w:p>
    <w:p w14:paraId="0538683B" w14:textId="77777777" w:rsidR="004139EF" w:rsidRDefault="00F76AD7" w:rsidP="0002229D">
      <w:pPr>
        <w:spacing w:line="360" w:lineRule="auto"/>
        <w:rPr>
          <w:rStyle w:val="Heading2Char"/>
        </w:rPr>
      </w:pPr>
      <w:r>
        <w:rPr>
          <w:color w:val="000000" w:themeColor="text1"/>
        </w:rPr>
        <w:br/>
      </w:r>
      <w:bookmarkStart w:id="11" w:name="_Toc61780096"/>
    </w:p>
    <w:p w14:paraId="7C11B4FC" w14:textId="77777777" w:rsidR="004139EF" w:rsidRDefault="004139EF">
      <w:pPr>
        <w:rPr>
          <w:rStyle w:val="Heading2Char"/>
        </w:rPr>
      </w:pPr>
      <w:r>
        <w:rPr>
          <w:rStyle w:val="Heading2Char"/>
        </w:rPr>
        <w:br w:type="page"/>
      </w:r>
    </w:p>
    <w:p w14:paraId="37BCED1D" w14:textId="6F8FB568" w:rsidR="00DB40D5" w:rsidRPr="00C27958" w:rsidRDefault="005D1512" w:rsidP="0002229D">
      <w:pPr>
        <w:spacing w:line="360" w:lineRule="auto"/>
        <w:rPr>
          <w:rFonts w:cs="Arial"/>
        </w:rPr>
      </w:pPr>
      <w:r w:rsidRPr="0002229D">
        <w:rPr>
          <w:rStyle w:val="Heading2Char"/>
        </w:rPr>
        <w:lastRenderedPageBreak/>
        <w:t>S</w:t>
      </w:r>
      <w:r w:rsidR="008823B0" w:rsidRPr="0002229D">
        <w:rPr>
          <w:rStyle w:val="Heading2Char"/>
        </w:rPr>
        <w:t>exual Orientation</w:t>
      </w:r>
      <w:bookmarkEnd w:id="11"/>
      <w:r w:rsidR="008823B0" w:rsidRPr="0002229D">
        <w:rPr>
          <w:rStyle w:val="Heading2Char"/>
        </w:rPr>
        <w:t xml:space="preserve"> </w:t>
      </w:r>
      <w:r w:rsidR="00F76AD7" w:rsidRPr="0002229D">
        <w:rPr>
          <w:rStyle w:val="Heading2Char"/>
        </w:rPr>
        <w:br/>
      </w:r>
      <w:r w:rsidR="00C01AAF">
        <w:rPr>
          <w:noProof/>
          <w:lang w:eastAsia="en-GB"/>
        </w:rPr>
        <w:drawing>
          <wp:inline distT="0" distB="0" distL="0" distR="0" wp14:anchorId="2FDD0381" wp14:editId="7B97C072">
            <wp:extent cx="5566410" cy="2564130"/>
            <wp:effectExtent l="0" t="0" r="15240" b="762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Turnover by Sexual Orientation"/>
        <w:tblDescription w:val="Table showing the number and percentage of all staff turnover by sexual orientation in 2018-19, 2017-18, 2016-17. Categories included Bi-Sexual, Gay man, Gay woman/lesbian, Heterosexual, Other, Prefer not to answer and Unknown. "/>
      </w:tblPr>
      <w:tblGrid>
        <w:gridCol w:w="1845"/>
        <w:gridCol w:w="1082"/>
        <w:gridCol w:w="1456"/>
        <w:gridCol w:w="1456"/>
        <w:gridCol w:w="1456"/>
        <w:gridCol w:w="1456"/>
      </w:tblGrid>
      <w:tr w:rsidR="00E159FA" w:rsidRPr="005021E8" w14:paraId="6843894A" w14:textId="77777777" w:rsidTr="009928C6">
        <w:trPr>
          <w:trHeight w:val="307"/>
          <w:tblHeader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D84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A87" w14:textId="77777777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2443" w14:textId="77777777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EE675" w14:textId="67CAC117" w:rsidR="00E159FA" w:rsidRPr="009928C6" w:rsidRDefault="00521EEB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2019-20% Turnover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9010A" w14:textId="5DF995A6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E24D" w14:textId="3FDCEAEC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E159FA" w:rsidRPr="005021E8" w14:paraId="4C6027E7" w14:textId="77777777" w:rsidTr="009928C6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C683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2EE8" w14:textId="06C4FA94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77A4" w14:textId="4DCDC12D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C636A" w14:textId="2374329F" w:rsidR="00E159FA" w:rsidRPr="009928C6" w:rsidRDefault="00E159F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40B6C" w14:textId="4A0BF896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11%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94A2" w14:textId="5D09BA11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10%</w:t>
            </w:r>
          </w:p>
        </w:tc>
      </w:tr>
      <w:tr w:rsidR="00E159FA" w:rsidRPr="005021E8" w14:paraId="06357203" w14:textId="77777777" w:rsidTr="009928C6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9592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4EA" w14:textId="38BD0B63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136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C470" w14:textId="476A96D4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023A0" w14:textId="3BC6CD56" w:rsidR="00E159FA" w:rsidRPr="009928C6" w:rsidRDefault="00E159F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5DB2" w14:textId="358EB9F1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D5B3" w14:textId="3CA701A1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5%</w:t>
            </w:r>
          </w:p>
        </w:tc>
      </w:tr>
      <w:tr w:rsidR="00E159FA" w:rsidRPr="005021E8" w14:paraId="19819A38" w14:textId="77777777" w:rsidTr="009928C6">
        <w:trPr>
          <w:trHeight w:val="583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2DA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Gay woman/</w:t>
            </w: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br/>
              <w:t>lesbian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D404" w14:textId="75BBBAED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69BA" w14:textId="3DFEFAF4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AD62E" w14:textId="54C03255" w:rsidR="00E159FA" w:rsidRPr="009928C6" w:rsidRDefault="00E159F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4A9B" w14:textId="31E37922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0154" w14:textId="1F755832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12%</w:t>
            </w:r>
          </w:p>
        </w:tc>
      </w:tr>
      <w:tr w:rsidR="00E159FA" w:rsidRPr="005021E8" w14:paraId="6508E0B0" w14:textId="77777777" w:rsidTr="009928C6">
        <w:trPr>
          <w:trHeight w:val="583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B3F" w14:textId="162BFA6A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C81" w14:textId="34410B3D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5867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28AD" w14:textId="3E58F80E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339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25A3E" w14:textId="6C57DBC4" w:rsidR="00E159FA" w:rsidRPr="009928C6" w:rsidRDefault="00E159F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252AF" w14:textId="7AE791D4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708E" w14:textId="72CC1158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8%</w:t>
            </w:r>
          </w:p>
        </w:tc>
      </w:tr>
      <w:tr w:rsidR="00E159FA" w:rsidRPr="005021E8" w14:paraId="6EAFA7AC" w14:textId="77777777" w:rsidTr="009928C6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9F2C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2FA7" w14:textId="49DBEF79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FD40" w14:textId="157EE0DB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A15B3" w14:textId="0196D5D5" w:rsidR="00E159FA" w:rsidRPr="009928C6" w:rsidRDefault="00E159F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E279A" w14:textId="40DCC97A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4315" w14:textId="4EEAC4D6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18%</w:t>
            </w:r>
          </w:p>
        </w:tc>
      </w:tr>
      <w:tr w:rsidR="00E159FA" w:rsidRPr="005021E8" w14:paraId="2DDC5ABF" w14:textId="77777777" w:rsidTr="009928C6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729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AC77" w14:textId="3B4D448C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1017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32A4" w14:textId="1E4B70F3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68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7309D" w14:textId="129607F3" w:rsidR="00E159FA" w:rsidRPr="009928C6" w:rsidRDefault="00E159FA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9C2A" w14:textId="768F5FB2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7625" w14:textId="2B91FAF7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10%</w:t>
            </w:r>
          </w:p>
        </w:tc>
      </w:tr>
      <w:tr w:rsidR="00E159FA" w:rsidRPr="005021E8" w14:paraId="6C9A8EF4" w14:textId="77777777" w:rsidTr="009928C6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2561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EBD4" w14:textId="75C615EC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1856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0BF0" w14:textId="4B43E696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156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50B08" w14:textId="41AF4FD7" w:rsidR="00E159FA" w:rsidRPr="009928C6" w:rsidRDefault="009A1BAE" w:rsidP="009928C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0ED4" w14:textId="2CF0E81A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F3FE" w14:textId="6154C734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5%</w:t>
            </w:r>
          </w:p>
        </w:tc>
      </w:tr>
    </w:tbl>
    <w:p w14:paraId="2B8257A2" w14:textId="77777777" w:rsidR="00FC27F2" w:rsidRDefault="00FC27F2" w:rsidP="0002229D">
      <w:pPr>
        <w:rPr>
          <w:rFonts w:cs="Arial"/>
          <w:i/>
          <w:szCs w:val="24"/>
        </w:rPr>
      </w:pPr>
    </w:p>
    <w:p w14:paraId="2753F9F3" w14:textId="77777777" w:rsidR="00211487" w:rsidRPr="0002229D" w:rsidRDefault="00211487" w:rsidP="0002229D">
      <w:pPr>
        <w:rPr>
          <w:b/>
        </w:rPr>
      </w:pPr>
      <w:r w:rsidRPr="0002229D">
        <w:rPr>
          <w:b/>
        </w:rPr>
        <w:t xml:space="preserve">Commentary </w:t>
      </w:r>
    </w:p>
    <w:p w14:paraId="5BA895FA" w14:textId="63273DC5" w:rsidR="00A03313" w:rsidRPr="00954A64" w:rsidRDefault="00684108" w:rsidP="0002229D">
      <w:pPr>
        <w:spacing w:line="360" w:lineRule="auto"/>
      </w:pPr>
      <w:r>
        <w:t>The turnover for staff disclosing as</w:t>
      </w:r>
      <w:r w:rsidR="009B1A02">
        <w:t xml:space="preserve"> a</w:t>
      </w:r>
      <w:r w:rsidR="005564FD">
        <w:t xml:space="preserve"> gay woman/lesbian was</w:t>
      </w:r>
      <w:r w:rsidR="00B02CA6">
        <w:t xml:space="preserve"> </w:t>
      </w:r>
      <w:r w:rsidR="00584B00">
        <w:t>9</w:t>
      </w:r>
      <w:r w:rsidR="00422A65" w:rsidRPr="00954A64">
        <w:t xml:space="preserve">% </w:t>
      </w:r>
      <w:r w:rsidR="005564FD">
        <w:t>in</w:t>
      </w:r>
      <w:r w:rsidR="00587B61" w:rsidRPr="00954A64">
        <w:t xml:space="preserve"> 201</w:t>
      </w:r>
      <w:r w:rsidR="00584B00">
        <w:t>9</w:t>
      </w:r>
      <w:r w:rsidR="00B02CA6">
        <w:t>-</w:t>
      </w:r>
      <w:r w:rsidR="00584B00">
        <w:t>20</w:t>
      </w:r>
      <w:r w:rsidR="00587B61" w:rsidRPr="00954A64">
        <w:t xml:space="preserve"> (</w:t>
      </w:r>
      <w:r w:rsidR="00584B00">
        <w:t>6</w:t>
      </w:r>
      <w:r w:rsidR="00B02CA6">
        <w:t>%, 201</w:t>
      </w:r>
      <w:r w:rsidR="00584B00">
        <w:t>8</w:t>
      </w:r>
      <w:r w:rsidR="00B02CA6">
        <w:t>-1</w:t>
      </w:r>
      <w:r w:rsidR="00584B00">
        <w:t>9</w:t>
      </w:r>
      <w:r w:rsidR="00954A64" w:rsidRPr="00954A64">
        <w:t>)</w:t>
      </w:r>
      <w:r w:rsidR="005564FD">
        <w:t xml:space="preserve">, </w:t>
      </w:r>
      <w:r w:rsidR="00584B00">
        <w:t>8</w:t>
      </w:r>
      <w:r w:rsidR="000B071F" w:rsidRPr="00954A64">
        <w:t xml:space="preserve">% </w:t>
      </w:r>
      <w:r w:rsidR="005564FD">
        <w:t>for</w:t>
      </w:r>
      <w:r w:rsidR="000B071F" w:rsidRPr="00954A64">
        <w:t xml:space="preserve"> staff </w:t>
      </w:r>
      <w:r w:rsidR="005564FD">
        <w:t>disclosing as b</w:t>
      </w:r>
      <w:r w:rsidR="000B071F" w:rsidRPr="00954A64">
        <w:t>isexual</w:t>
      </w:r>
      <w:r w:rsidR="001B1868" w:rsidRPr="00954A64">
        <w:t xml:space="preserve"> </w:t>
      </w:r>
      <w:r w:rsidR="00954A64" w:rsidRPr="00954A64">
        <w:t>(1</w:t>
      </w:r>
      <w:r w:rsidR="00584B00">
        <w:t>1</w:t>
      </w:r>
      <w:r w:rsidR="00B02CA6">
        <w:t>%, 201</w:t>
      </w:r>
      <w:r w:rsidR="00584B00">
        <w:t>8</w:t>
      </w:r>
      <w:r w:rsidR="00B02CA6">
        <w:t>-1</w:t>
      </w:r>
      <w:r w:rsidR="00584B00">
        <w:t>9</w:t>
      </w:r>
      <w:r w:rsidR="00954A64" w:rsidRPr="00954A64">
        <w:t>)</w:t>
      </w:r>
      <w:r w:rsidR="00E86B96">
        <w:t>, and</w:t>
      </w:r>
      <w:r w:rsidR="00954A64" w:rsidRPr="00954A64">
        <w:t xml:space="preserve"> </w:t>
      </w:r>
      <w:r w:rsidR="00584B00">
        <w:t>9</w:t>
      </w:r>
      <w:r w:rsidR="005564FD">
        <w:t>% for staff disclosing as</w:t>
      </w:r>
      <w:r w:rsidR="001B1868" w:rsidRPr="00954A64">
        <w:t xml:space="preserve"> a gay man</w:t>
      </w:r>
      <w:r w:rsidR="00954A64" w:rsidRPr="00954A64">
        <w:t xml:space="preserve"> (</w:t>
      </w:r>
      <w:r w:rsidR="00584B00">
        <w:t>1</w:t>
      </w:r>
      <w:r w:rsidR="00B02CA6">
        <w:t>5%, 201</w:t>
      </w:r>
      <w:r w:rsidR="00584B00">
        <w:t>8</w:t>
      </w:r>
      <w:r w:rsidR="00B02CA6">
        <w:t>-1</w:t>
      </w:r>
      <w:r w:rsidR="00584B00">
        <w:t>9</w:t>
      </w:r>
      <w:r w:rsidR="00954A64" w:rsidRPr="00954A64">
        <w:t>).</w:t>
      </w:r>
      <w:r w:rsidR="001B1868" w:rsidRPr="00954A64">
        <w:t xml:space="preserve"> </w:t>
      </w:r>
    </w:p>
    <w:p w14:paraId="0C1448E6" w14:textId="5AC0C12F" w:rsidR="009059B0" w:rsidRDefault="006B014D" w:rsidP="0002229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Whilst these data are</w:t>
      </w:r>
      <w:r w:rsidR="00954A64">
        <w:rPr>
          <w:color w:val="000000" w:themeColor="text1"/>
        </w:rPr>
        <w:t xml:space="preserve"> provided for transparency, it should be noted that due to the low number of staff in some categories, i</w:t>
      </w:r>
      <w:r w:rsidR="00A4164D">
        <w:rPr>
          <w:color w:val="000000" w:themeColor="text1"/>
        </w:rPr>
        <w:t>t may be</w:t>
      </w:r>
      <w:r w:rsidR="00954A64">
        <w:rPr>
          <w:color w:val="000000" w:themeColor="text1"/>
        </w:rPr>
        <w:t xml:space="preserve"> difficult to drawn meaningful conclusions when </w:t>
      </w:r>
      <w:r w:rsidR="00A4164D">
        <w:rPr>
          <w:color w:val="000000" w:themeColor="text1"/>
        </w:rPr>
        <w:t>comparing</w:t>
      </w:r>
      <w:r w:rsidR="00954A64">
        <w:rPr>
          <w:color w:val="000000" w:themeColor="text1"/>
        </w:rPr>
        <w:t xml:space="preserve"> data across academic years</w:t>
      </w:r>
      <w:r w:rsidR="008F71F6">
        <w:rPr>
          <w:color w:val="000000" w:themeColor="text1"/>
        </w:rPr>
        <w:t>.</w:t>
      </w:r>
    </w:p>
    <w:p w14:paraId="013D483F" w14:textId="7379A76C" w:rsidR="008823B0" w:rsidRDefault="008F71F6" w:rsidP="0002229D">
      <w:pPr>
        <w:pStyle w:val="Heading2"/>
        <w:rPr>
          <w:rFonts w:cs="Arial"/>
          <w:color w:val="000000" w:themeColor="text1"/>
        </w:rPr>
      </w:pPr>
      <w:bookmarkStart w:id="12" w:name="_Toc61780097"/>
      <w:r w:rsidRPr="00F76AD7">
        <w:lastRenderedPageBreak/>
        <w:t>Contract Status</w:t>
      </w:r>
      <w:r w:rsidR="00F76AD7">
        <w:br/>
      </w:r>
      <w:bookmarkEnd w:id="12"/>
      <w:r w:rsidR="00F93D29">
        <w:rPr>
          <w:noProof/>
          <w:lang w:eastAsia="en-GB"/>
        </w:rPr>
        <w:drawing>
          <wp:inline distT="0" distB="0" distL="0" distR="0" wp14:anchorId="4A282F8E" wp14:editId="22F89D2A">
            <wp:extent cx="5505450" cy="306705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4971" w:type="pct"/>
        <w:tblLook w:val="04A0" w:firstRow="1" w:lastRow="0" w:firstColumn="1" w:lastColumn="0" w:noHBand="0" w:noVBand="1"/>
        <w:tblCaption w:val="All Staff Turnover by Contract Status"/>
        <w:tblDescription w:val="Table showing the percentage and number of all staff turnover by contract status in 2018-19, 2017-18, 2016-17. Categories include full time and part time."/>
      </w:tblPr>
      <w:tblGrid>
        <w:gridCol w:w="1405"/>
        <w:gridCol w:w="1540"/>
        <w:gridCol w:w="1495"/>
        <w:gridCol w:w="1420"/>
        <w:gridCol w:w="1420"/>
        <w:gridCol w:w="1420"/>
      </w:tblGrid>
      <w:tr w:rsidR="003607E1" w:rsidRPr="005021E8" w14:paraId="245A8839" w14:textId="77777777" w:rsidTr="009928C6">
        <w:trPr>
          <w:trHeight w:val="337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34" w14:textId="77777777" w:rsidR="003607E1" w:rsidRPr="005021E8" w:rsidRDefault="003607E1" w:rsidP="0002229D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5E7" w14:textId="77777777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90F" w14:textId="77777777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5378" w14:textId="39E0D2DC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87F3" w14:textId="4DEDEB8D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673E" w14:textId="07858008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3607E1" w:rsidRPr="005021E8" w14:paraId="208AC1B3" w14:textId="77777777" w:rsidTr="009928C6">
        <w:trPr>
          <w:trHeight w:hRule="exact" w:val="32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CF" w14:textId="77777777" w:rsidR="003607E1" w:rsidRPr="005021E8" w:rsidRDefault="003607E1" w:rsidP="003607E1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 w:cs="Arial"/>
                <w:b/>
                <w:bCs/>
                <w:color w:val="000000"/>
                <w:lang w:eastAsia="en-GB"/>
              </w:rPr>
              <w:t>Full time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3E83" w14:textId="1F3AB90B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6344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3161" w14:textId="2AD99478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366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6AD10" w14:textId="7C0F6BED" w:rsidR="003607E1" w:rsidRPr="009928C6" w:rsidRDefault="00A945CB" w:rsidP="009928C6">
            <w:pPr>
              <w:spacing w:line="36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2B9F1" w14:textId="2BF8F4DE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57F0" w14:textId="10EC4228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6%</w:t>
            </w:r>
          </w:p>
        </w:tc>
      </w:tr>
      <w:tr w:rsidR="003607E1" w:rsidRPr="005021E8" w14:paraId="6F82153E" w14:textId="77777777" w:rsidTr="009928C6">
        <w:trPr>
          <w:trHeight w:hRule="exact" w:val="320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54D" w14:textId="77777777" w:rsidR="003607E1" w:rsidRPr="005021E8" w:rsidRDefault="003607E1" w:rsidP="003607E1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 w:cs="Arial"/>
                <w:b/>
                <w:bCs/>
                <w:color w:val="000000"/>
                <w:lang w:eastAsia="en-GB"/>
              </w:rPr>
              <w:t>Part time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C335" w14:textId="08DBB305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2895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B6DA" w14:textId="6F6F8E98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234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23D4A" w14:textId="76AC64F2" w:rsidR="003607E1" w:rsidRPr="009928C6" w:rsidRDefault="00A945CB" w:rsidP="009928C6">
            <w:pPr>
              <w:spacing w:line="36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041C" w14:textId="2EB9EC12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8090" w14:textId="2D944258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11%</w:t>
            </w:r>
          </w:p>
        </w:tc>
      </w:tr>
    </w:tbl>
    <w:p w14:paraId="283B2119" w14:textId="77777777" w:rsidR="00774CF2" w:rsidRDefault="00774CF2" w:rsidP="0002229D">
      <w:pPr>
        <w:rPr>
          <w:b/>
        </w:rPr>
      </w:pPr>
    </w:p>
    <w:p w14:paraId="6C75DE3C" w14:textId="3DC7775E" w:rsidR="000F5C6D" w:rsidRPr="0002229D" w:rsidRDefault="00954A64" w:rsidP="0002229D">
      <w:pPr>
        <w:rPr>
          <w:b/>
        </w:rPr>
      </w:pPr>
      <w:r w:rsidRPr="0002229D">
        <w:rPr>
          <w:b/>
        </w:rPr>
        <w:t>Commentary</w:t>
      </w:r>
    </w:p>
    <w:p w14:paraId="05B95F8B" w14:textId="31025107" w:rsidR="00954A64" w:rsidRDefault="009C2158" w:rsidP="0002229D">
      <w:pPr>
        <w:spacing w:line="360" w:lineRule="auto"/>
      </w:pPr>
      <w:r>
        <w:t>During the academic year 201</w:t>
      </w:r>
      <w:r w:rsidR="00AE4763">
        <w:t>9</w:t>
      </w:r>
      <w:r>
        <w:t>-</w:t>
      </w:r>
      <w:r w:rsidR="00AE4763">
        <w:t>20</w:t>
      </w:r>
      <w:r w:rsidR="001609EA" w:rsidRPr="001609EA">
        <w:t xml:space="preserve"> the turnover rate for p</w:t>
      </w:r>
      <w:r>
        <w:t xml:space="preserve">art time members of staff was </w:t>
      </w:r>
      <w:r w:rsidR="00AE4763">
        <w:t>8</w:t>
      </w:r>
      <w:r>
        <w:t>% (</w:t>
      </w:r>
      <w:r w:rsidR="00AE4763">
        <w:t>9</w:t>
      </w:r>
      <w:r>
        <w:t>%, 201</w:t>
      </w:r>
      <w:r w:rsidR="00AE4763">
        <w:t>8</w:t>
      </w:r>
      <w:r>
        <w:t>-1</w:t>
      </w:r>
      <w:r w:rsidR="00AE4763">
        <w:t>9</w:t>
      </w:r>
      <w:r w:rsidR="001609EA" w:rsidRPr="001609EA">
        <w:t xml:space="preserve">) compared to a turnover rate for full time members of staff of </w:t>
      </w:r>
      <w:r w:rsidR="00AE4763">
        <w:t>6</w:t>
      </w:r>
      <w:r w:rsidR="001609EA" w:rsidRPr="001609EA">
        <w:t>% (</w:t>
      </w:r>
      <w:r w:rsidR="00AE4763">
        <w:t>7</w:t>
      </w:r>
      <w:r w:rsidR="001609EA" w:rsidRPr="001609EA">
        <w:t>% 201</w:t>
      </w:r>
      <w:r w:rsidR="00AE4763">
        <w:t>8</w:t>
      </w:r>
      <w:r w:rsidR="00AA4BB8">
        <w:t>-1</w:t>
      </w:r>
      <w:r w:rsidR="00AE4763">
        <w:t>9</w:t>
      </w:r>
      <w:r w:rsidR="001609EA" w:rsidRPr="001609EA">
        <w:t>)</w:t>
      </w:r>
      <w:r w:rsidR="001609EA">
        <w:t>.</w:t>
      </w:r>
    </w:p>
    <w:p w14:paraId="205C9916" w14:textId="25A1118A" w:rsidR="0002229D" w:rsidRDefault="00A811AF" w:rsidP="0002229D">
      <w:pPr>
        <w:pStyle w:val="Heading2"/>
        <w:rPr>
          <w:rStyle w:val="Heading2Char"/>
          <w:b/>
        </w:rPr>
      </w:pPr>
      <w:bookmarkStart w:id="13" w:name="_Toc61780098"/>
      <w:r w:rsidRPr="0002229D">
        <w:rPr>
          <w:rStyle w:val="Heading2Char"/>
          <w:b/>
        </w:rPr>
        <w:lastRenderedPageBreak/>
        <w:t>Contract Type</w:t>
      </w:r>
      <w:bookmarkEnd w:id="13"/>
    </w:p>
    <w:p w14:paraId="33930B80" w14:textId="40EB4179" w:rsidR="000F5C6D" w:rsidRPr="00C27958" w:rsidRDefault="0048644A" w:rsidP="0002229D">
      <w:r>
        <w:rPr>
          <w:color w:val="17365D" w:themeColor="text2" w:themeShade="BF"/>
        </w:rPr>
        <w:br/>
      </w:r>
      <w:r w:rsidR="0008099B">
        <w:rPr>
          <w:noProof/>
          <w:lang w:eastAsia="en-GB"/>
        </w:rPr>
        <w:drawing>
          <wp:inline distT="0" distB="0" distL="0" distR="0" wp14:anchorId="36351255" wp14:editId="673365E0">
            <wp:extent cx="5591175" cy="303847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5093" w:type="pct"/>
        <w:tblLook w:val="04A0" w:firstRow="1" w:lastRow="0" w:firstColumn="1" w:lastColumn="0" w:noHBand="0" w:noVBand="1"/>
        <w:tblCaption w:val="All Staff Turnover by Contract Type"/>
        <w:tblDescription w:val="Table showing the number and percentage of all staff turnover by contract type in 2018-19, 2017-18, 2016-17. Categories include fixed term and permanent."/>
      </w:tblPr>
      <w:tblGrid>
        <w:gridCol w:w="1641"/>
        <w:gridCol w:w="1535"/>
        <w:gridCol w:w="1490"/>
        <w:gridCol w:w="1416"/>
        <w:gridCol w:w="1416"/>
        <w:gridCol w:w="1416"/>
      </w:tblGrid>
      <w:tr w:rsidR="00B106A1" w:rsidRPr="005021E8" w14:paraId="4B988F20" w14:textId="77777777" w:rsidTr="009928C6">
        <w:trPr>
          <w:trHeight w:val="375"/>
          <w:tblHeader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982" w14:textId="77777777" w:rsidR="00B106A1" w:rsidRPr="00774CF2" w:rsidRDefault="00B106A1" w:rsidP="0002229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4F1" w14:textId="77777777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E451" w14:textId="77777777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A20B7" w14:textId="252208A3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FCB4" w14:textId="369D7F51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DC0E" w14:textId="5BED4F17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2017-18 % Turnover</w:t>
            </w:r>
          </w:p>
        </w:tc>
      </w:tr>
      <w:tr w:rsidR="00B106A1" w:rsidRPr="005021E8" w14:paraId="26A3BC9D" w14:textId="77777777" w:rsidTr="009928C6">
        <w:trPr>
          <w:trHeight w:hRule="exact" w:val="376"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85A" w14:textId="77777777" w:rsidR="00B106A1" w:rsidRPr="00774CF2" w:rsidRDefault="00B106A1" w:rsidP="00EB4D28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4CF2">
              <w:rPr>
                <w:rFonts w:eastAsia="Times New Roman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37C" w14:textId="1C949764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1850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CE21" w14:textId="0B809380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246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C919C" w14:textId="5C55C20A" w:rsidR="00B106A1" w:rsidRPr="009928C6" w:rsidRDefault="00B106A1" w:rsidP="009928C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color w:val="000000"/>
                <w:szCs w:val="24"/>
              </w:rPr>
              <w:t>13%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D3FE" w14:textId="1235E19A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13%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98E9" w14:textId="2AC45AA9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13%</w:t>
            </w:r>
          </w:p>
        </w:tc>
      </w:tr>
      <w:tr w:rsidR="00B106A1" w:rsidRPr="005021E8" w14:paraId="27B03236" w14:textId="77777777" w:rsidTr="009928C6">
        <w:trPr>
          <w:trHeight w:hRule="exact" w:val="376"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BDD" w14:textId="77777777" w:rsidR="00B106A1" w:rsidRPr="00774CF2" w:rsidRDefault="00B106A1" w:rsidP="00EB4D28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4CF2">
              <w:rPr>
                <w:rFonts w:eastAsia="Times New Roman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5C67" w14:textId="7F3EF161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7389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CC3A4" w14:textId="2CBF0E33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354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90E6E" w14:textId="6101D737" w:rsidR="00B106A1" w:rsidRPr="009928C6" w:rsidRDefault="00B106A1" w:rsidP="009928C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color w:val="000000"/>
                <w:szCs w:val="24"/>
              </w:rPr>
              <w:t>5%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1363" w14:textId="3B0ADE25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6%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5DD2" w14:textId="518FA5DE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6%</w:t>
            </w:r>
          </w:p>
        </w:tc>
      </w:tr>
    </w:tbl>
    <w:p w14:paraId="2D83098D" w14:textId="77777777" w:rsidR="005021E8" w:rsidRDefault="005021E8" w:rsidP="0002229D"/>
    <w:p w14:paraId="17122816" w14:textId="77777777" w:rsidR="0015732E" w:rsidRPr="0002229D" w:rsidRDefault="0015732E" w:rsidP="0002229D">
      <w:pPr>
        <w:rPr>
          <w:b/>
        </w:rPr>
      </w:pPr>
      <w:r w:rsidRPr="0002229D">
        <w:rPr>
          <w:b/>
        </w:rPr>
        <w:t>Commentary</w:t>
      </w:r>
    </w:p>
    <w:p w14:paraId="2E98A0DF" w14:textId="355F4D16" w:rsidR="0015732E" w:rsidRPr="0015732E" w:rsidRDefault="006C6067" w:rsidP="0002229D">
      <w:pPr>
        <w:spacing w:line="360" w:lineRule="auto"/>
      </w:pPr>
      <w:r>
        <w:t>During the academic year 201</w:t>
      </w:r>
      <w:r w:rsidR="00ED6021">
        <w:t>9</w:t>
      </w:r>
      <w:r>
        <w:t>-</w:t>
      </w:r>
      <w:r w:rsidR="00ED6021">
        <w:t>20</w:t>
      </w:r>
      <w:r w:rsidR="0015732E">
        <w:t>, the turnover rate for fixed term staff was 13%</w:t>
      </w:r>
      <w:r w:rsidR="00ED6021">
        <w:t>, the same as the two previous years.</w:t>
      </w:r>
      <w:r w:rsidR="0015732E">
        <w:t xml:space="preserve"> The turnover rate for permanent staff was </w:t>
      </w:r>
      <w:r w:rsidR="00ED6021">
        <w:t>5</w:t>
      </w:r>
      <w:r w:rsidR="0015732E">
        <w:t>%</w:t>
      </w:r>
      <w:r w:rsidR="00ED6021">
        <w:t>, previously 6%.</w:t>
      </w:r>
      <w:r w:rsidR="0015732E">
        <w:t xml:space="preserve"> </w:t>
      </w:r>
    </w:p>
    <w:p w14:paraId="30604C6D" w14:textId="77777777" w:rsidR="0015732E" w:rsidRPr="00C27958" w:rsidRDefault="0015732E" w:rsidP="0002229D">
      <w:pPr>
        <w:spacing w:line="360" w:lineRule="auto"/>
      </w:pPr>
    </w:p>
    <w:sectPr w:rsidR="0015732E" w:rsidRPr="00C27958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BC94" w14:textId="77777777" w:rsidR="003D48C7" w:rsidRDefault="003D48C7" w:rsidP="00B9099B">
      <w:pPr>
        <w:spacing w:after="0" w:line="240" w:lineRule="auto"/>
      </w:pPr>
      <w:r>
        <w:separator/>
      </w:r>
    </w:p>
  </w:endnote>
  <w:endnote w:type="continuationSeparator" w:id="0">
    <w:p w14:paraId="263BA4E7" w14:textId="77777777" w:rsidR="003D48C7" w:rsidRDefault="003D48C7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21111" w14:textId="3D6681CB" w:rsidR="004139EF" w:rsidRDefault="00413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A5576C4" w14:textId="77777777" w:rsidR="004139EF" w:rsidRDefault="00413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6BB1" w14:textId="77777777" w:rsidR="003D48C7" w:rsidRDefault="003D48C7" w:rsidP="00B9099B">
      <w:pPr>
        <w:spacing w:after="0" w:line="240" w:lineRule="auto"/>
      </w:pPr>
      <w:r>
        <w:separator/>
      </w:r>
    </w:p>
  </w:footnote>
  <w:footnote w:type="continuationSeparator" w:id="0">
    <w:p w14:paraId="4679D663" w14:textId="77777777" w:rsidR="003D48C7" w:rsidRDefault="003D48C7" w:rsidP="00B9099B">
      <w:pPr>
        <w:spacing w:after="0" w:line="240" w:lineRule="auto"/>
      </w:pPr>
      <w:r>
        <w:continuationSeparator/>
      </w:r>
    </w:p>
  </w:footnote>
  <w:footnote w:id="1">
    <w:p w14:paraId="559E1E3C" w14:textId="241D14A5" w:rsidR="004139EF" w:rsidRPr="00060F89" w:rsidRDefault="004139EF">
      <w:pPr>
        <w:pStyle w:val="FootnoteText"/>
        <w:rPr>
          <w:rFonts w:cs="Arial"/>
          <w:sz w:val="18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</w:t>
      </w:r>
      <w:r w:rsidRPr="00F95C7E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2">
    <w:p w14:paraId="2DFAC6DA" w14:textId="77777777" w:rsidR="004139EF" w:rsidRPr="0002229D" w:rsidRDefault="004139EF" w:rsidP="00BE1906">
      <w:pPr>
        <w:pStyle w:val="FootnoteText"/>
        <w:rPr>
          <w:rFonts w:cs="Arial"/>
          <w:sz w:val="24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8AB77FC" w14:textId="77777777" w:rsidR="004139EF" w:rsidRDefault="004139EF">
      <w:pPr>
        <w:pStyle w:val="FootnoteText"/>
      </w:pPr>
    </w:p>
  </w:footnote>
  <w:footnote w:id="3">
    <w:p w14:paraId="3526A968" w14:textId="2B3F1CB7" w:rsidR="004139EF" w:rsidRPr="00E84AEA" w:rsidRDefault="004139EF">
      <w:pPr>
        <w:pStyle w:val="FootnoteText"/>
        <w:rPr>
          <w:rFonts w:cs="Arial"/>
          <w:sz w:val="18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B</w:t>
      </w:r>
      <w:r>
        <w:rPr>
          <w:rFonts w:cs="Arial"/>
          <w:sz w:val="24"/>
          <w:szCs w:val="18"/>
        </w:rPr>
        <w:t>A</w:t>
      </w:r>
      <w:r w:rsidRPr="0002229D">
        <w:rPr>
          <w:rFonts w:cs="Arial"/>
          <w:sz w:val="24"/>
          <w:szCs w:val="18"/>
        </w:rPr>
        <w:t>ME- Black</w:t>
      </w:r>
      <w:r>
        <w:rPr>
          <w:rFonts w:cs="Arial"/>
          <w:sz w:val="24"/>
          <w:szCs w:val="18"/>
        </w:rPr>
        <w:t>, Asian</w:t>
      </w:r>
      <w:r w:rsidR="003E07A2">
        <w:rPr>
          <w:rFonts w:cs="Arial"/>
          <w:sz w:val="24"/>
          <w:szCs w:val="18"/>
        </w:rPr>
        <w:t xml:space="preserve"> and minority e</w:t>
      </w:r>
      <w:bookmarkStart w:id="8" w:name="_GoBack"/>
      <w:bookmarkEnd w:id="8"/>
      <w:r w:rsidRPr="0002229D">
        <w:rPr>
          <w:rFonts w:cs="Arial"/>
          <w:sz w:val="24"/>
          <w:szCs w:val="18"/>
        </w:rPr>
        <w:t>thnic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0"/>
    <w:rsid w:val="00003E43"/>
    <w:rsid w:val="00003F06"/>
    <w:rsid w:val="00004161"/>
    <w:rsid w:val="00013225"/>
    <w:rsid w:val="00020D63"/>
    <w:rsid w:val="0002229D"/>
    <w:rsid w:val="00022896"/>
    <w:rsid w:val="00024A17"/>
    <w:rsid w:val="000256AA"/>
    <w:rsid w:val="000320FE"/>
    <w:rsid w:val="000340CE"/>
    <w:rsid w:val="00041D24"/>
    <w:rsid w:val="000479CC"/>
    <w:rsid w:val="00052E0D"/>
    <w:rsid w:val="00060F89"/>
    <w:rsid w:val="00063636"/>
    <w:rsid w:val="000651A9"/>
    <w:rsid w:val="000705B2"/>
    <w:rsid w:val="00075F72"/>
    <w:rsid w:val="00076D2F"/>
    <w:rsid w:val="0008099B"/>
    <w:rsid w:val="0008101A"/>
    <w:rsid w:val="0008104A"/>
    <w:rsid w:val="00084210"/>
    <w:rsid w:val="00087F63"/>
    <w:rsid w:val="00096A4D"/>
    <w:rsid w:val="000A3438"/>
    <w:rsid w:val="000B071F"/>
    <w:rsid w:val="000B2133"/>
    <w:rsid w:val="000B2AC7"/>
    <w:rsid w:val="000B52EC"/>
    <w:rsid w:val="000E4167"/>
    <w:rsid w:val="000F330E"/>
    <w:rsid w:val="000F5C6D"/>
    <w:rsid w:val="00106283"/>
    <w:rsid w:val="00110047"/>
    <w:rsid w:val="0011521D"/>
    <w:rsid w:val="0013102B"/>
    <w:rsid w:val="0013354F"/>
    <w:rsid w:val="001363EF"/>
    <w:rsid w:val="00142692"/>
    <w:rsid w:val="001445B0"/>
    <w:rsid w:val="00151CA9"/>
    <w:rsid w:val="001542B6"/>
    <w:rsid w:val="001555D8"/>
    <w:rsid w:val="00156E14"/>
    <w:rsid w:val="0015732E"/>
    <w:rsid w:val="00160041"/>
    <w:rsid w:val="001609EA"/>
    <w:rsid w:val="00164C7C"/>
    <w:rsid w:val="001921D2"/>
    <w:rsid w:val="00193892"/>
    <w:rsid w:val="001942A5"/>
    <w:rsid w:val="00194DD6"/>
    <w:rsid w:val="001974BF"/>
    <w:rsid w:val="001A5006"/>
    <w:rsid w:val="001A6E93"/>
    <w:rsid w:val="001B1868"/>
    <w:rsid w:val="001B36BB"/>
    <w:rsid w:val="001B39E4"/>
    <w:rsid w:val="001B6DDF"/>
    <w:rsid w:val="001B73E4"/>
    <w:rsid w:val="001C011C"/>
    <w:rsid w:val="001D103F"/>
    <w:rsid w:val="001E2DFE"/>
    <w:rsid w:val="001F1F88"/>
    <w:rsid w:val="001F295C"/>
    <w:rsid w:val="001F658B"/>
    <w:rsid w:val="001F6BCD"/>
    <w:rsid w:val="00204CF3"/>
    <w:rsid w:val="00206861"/>
    <w:rsid w:val="0021012F"/>
    <w:rsid w:val="00211487"/>
    <w:rsid w:val="0021294C"/>
    <w:rsid w:val="00216150"/>
    <w:rsid w:val="00225812"/>
    <w:rsid w:val="00227C54"/>
    <w:rsid w:val="00231D2B"/>
    <w:rsid w:val="00233F8F"/>
    <w:rsid w:val="00234846"/>
    <w:rsid w:val="00244AFB"/>
    <w:rsid w:val="00245278"/>
    <w:rsid w:val="002469C0"/>
    <w:rsid w:val="00250650"/>
    <w:rsid w:val="0026492F"/>
    <w:rsid w:val="002702B1"/>
    <w:rsid w:val="00272C76"/>
    <w:rsid w:val="00273F93"/>
    <w:rsid w:val="00275227"/>
    <w:rsid w:val="002753DC"/>
    <w:rsid w:val="00276A70"/>
    <w:rsid w:val="0028432E"/>
    <w:rsid w:val="00287710"/>
    <w:rsid w:val="00290FD9"/>
    <w:rsid w:val="002A0F1F"/>
    <w:rsid w:val="002A50B1"/>
    <w:rsid w:val="002B11A3"/>
    <w:rsid w:val="002B4D6F"/>
    <w:rsid w:val="002B58F8"/>
    <w:rsid w:val="002C0E3F"/>
    <w:rsid w:val="002C442E"/>
    <w:rsid w:val="002D2E16"/>
    <w:rsid w:val="002D3F00"/>
    <w:rsid w:val="002D77BB"/>
    <w:rsid w:val="002E0B3A"/>
    <w:rsid w:val="002E2EC4"/>
    <w:rsid w:val="002E7F79"/>
    <w:rsid w:val="002F07F4"/>
    <w:rsid w:val="002F504C"/>
    <w:rsid w:val="002F7BE4"/>
    <w:rsid w:val="003073B5"/>
    <w:rsid w:val="00311584"/>
    <w:rsid w:val="00330504"/>
    <w:rsid w:val="003533AB"/>
    <w:rsid w:val="00356691"/>
    <w:rsid w:val="003607E1"/>
    <w:rsid w:val="00365596"/>
    <w:rsid w:val="00365C3F"/>
    <w:rsid w:val="003746C9"/>
    <w:rsid w:val="00385098"/>
    <w:rsid w:val="003918E9"/>
    <w:rsid w:val="00393AF6"/>
    <w:rsid w:val="003B4CA4"/>
    <w:rsid w:val="003B57E1"/>
    <w:rsid w:val="003C6A51"/>
    <w:rsid w:val="003D48C7"/>
    <w:rsid w:val="003E07A2"/>
    <w:rsid w:val="003E148D"/>
    <w:rsid w:val="003E4190"/>
    <w:rsid w:val="003F04DC"/>
    <w:rsid w:val="003F7234"/>
    <w:rsid w:val="00404D7D"/>
    <w:rsid w:val="004139EF"/>
    <w:rsid w:val="004141B5"/>
    <w:rsid w:val="0041509B"/>
    <w:rsid w:val="00422A65"/>
    <w:rsid w:val="00422F7B"/>
    <w:rsid w:val="00463389"/>
    <w:rsid w:val="00470E7A"/>
    <w:rsid w:val="0048644A"/>
    <w:rsid w:val="0049003E"/>
    <w:rsid w:val="00492633"/>
    <w:rsid w:val="00493BDF"/>
    <w:rsid w:val="00495A66"/>
    <w:rsid w:val="004C0145"/>
    <w:rsid w:val="004C53BF"/>
    <w:rsid w:val="004E0F9F"/>
    <w:rsid w:val="004F3134"/>
    <w:rsid w:val="005021E8"/>
    <w:rsid w:val="00504701"/>
    <w:rsid w:val="00507FEB"/>
    <w:rsid w:val="00511981"/>
    <w:rsid w:val="00511DC6"/>
    <w:rsid w:val="00511DFF"/>
    <w:rsid w:val="00515ABB"/>
    <w:rsid w:val="00521EEB"/>
    <w:rsid w:val="00532EA0"/>
    <w:rsid w:val="0053446A"/>
    <w:rsid w:val="00542640"/>
    <w:rsid w:val="00542AC5"/>
    <w:rsid w:val="005471E4"/>
    <w:rsid w:val="005564FD"/>
    <w:rsid w:val="005641D6"/>
    <w:rsid w:val="00581220"/>
    <w:rsid w:val="00583271"/>
    <w:rsid w:val="00584B00"/>
    <w:rsid w:val="00585534"/>
    <w:rsid w:val="00587B61"/>
    <w:rsid w:val="0059084E"/>
    <w:rsid w:val="005A18C9"/>
    <w:rsid w:val="005C5DD6"/>
    <w:rsid w:val="005D104A"/>
    <w:rsid w:val="005D1512"/>
    <w:rsid w:val="005F0AD4"/>
    <w:rsid w:val="005F5B7E"/>
    <w:rsid w:val="005F6B7F"/>
    <w:rsid w:val="00620924"/>
    <w:rsid w:val="0062139E"/>
    <w:rsid w:val="00624E6B"/>
    <w:rsid w:val="00625775"/>
    <w:rsid w:val="0063030C"/>
    <w:rsid w:val="00630CDA"/>
    <w:rsid w:val="00636985"/>
    <w:rsid w:val="0064027C"/>
    <w:rsid w:val="00640ADB"/>
    <w:rsid w:val="00646385"/>
    <w:rsid w:val="006553BB"/>
    <w:rsid w:val="0066559B"/>
    <w:rsid w:val="0067003C"/>
    <w:rsid w:val="00672ECC"/>
    <w:rsid w:val="0067538F"/>
    <w:rsid w:val="0067766D"/>
    <w:rsid w:val="00684108"/>
    <w:rsid w:val="00685C17"/>
    <w:rsid w:val="006912D5"/>
    <w:rsid w:val="00696E1D"/>
    <w:rsid w:val="006A587C"/>
    <w:rsid w:val="006A7703"/>
    <w:rsid w:val="006B014D"/>
    <w:rsid w:val="006C08B8"/>
    <w:rsid w:val="006C6067"/>
    <w:rsid w:val="006D2A04"/>
    <w:rsid w:val="006D39F7"/>
    <w:rsid w:val="006E321C"/>
    <w:rsid w:val="006E38E6"/>
    <w:rsid w:val="006E4B7D"/>
    <w:rsid w:val="006F74BF"/>
    <w:rsid w:val="006F7507"/>
    <w:rsid w:val="00700F1C"/>
    <w:rsid w:val="00703896"/>
    <w:rsid w:val="00705BEA"/>
    <w:rsid w:val="007075B9"/>
    <w:rsid w:val="0072519D"/>
    <w:rsid w:val="00726D3D"/>
    <w:rsid w:val="00730869"/>
    <w:rsid w:val="00734091"/>
    <w:rsid w:val="00737953"/>
    <w:rsid w:val="007409B7"/>
    <w:rsid w:val="007417E1"/>
    <w:rsid w:val="00762474"/>
    <w:rsid w:val="00763652"/>
    <w:rsid w:val="00764F8D"/>
    <w:rsid w:val="0077076E"/>
    <w:rsid w:val="00774CF2"/>
    <w:rsid w:val="00776A10"/>
    <w:rsid w:val="00787405"/>
    <w:rsid w:val="007927D4"/>
    <w:rsid w:val="0079358D"/>
    <w:rsid w:val="00793851"/>
    <w:rsid w:val="007942AB"/>
    <w:rsid w:val="007A0B28"/>
    <w:rsid w:val="007A1258"/>
    <w:rsid w:val="007B072A"/>
    <w:rsid w:val="007B3C3E"/>
    <w:rsid w:val="007C2EC8"/>
    <w:rsid w:val="007D2430"/>
    <w:rsid w:val="007D5256"/>
    <w:rsid w:val="007E11C5"/>
    <w:rsid w:val="007E17A7"/>
    <w:rsid w:val="007E3D64"/>
    <w:rsid w:val="007F0ABA"/>
    <w:rsid w:val="007F11AD"/>
    <w:rsid w:val="007F4066"/>
    <w:rsid w:val="007F4EDC"/>
    <w:rsid w:val="007F5F18"/>
    <w:rsid w:val="007F63CA"/>
    <w:rsid w:val="00800B1D"/>
    <w:rsid w:val="00810532"/>
    <w:rsid w:val="008113BF"/>
    <w:rsid w:val="00815A22"/>
    <w:rsid w:val="00823230"/>
    <w:rsid w:val="00830C84"/>
    <w:rsid w:val="00833327"/>
    <w:rsid w:val="00833C19"/>
    <w:rsid w:val="0085183F"/>
    <w:rsid w:val="00855BB5"/>
    <w:rsid w:val="00864435"/>
    <w:rsid w:val="00875ED0"/>
    <w:rsid w:val="008823B0"/>
    <w:rsid w:val="00882612"/>
    <w:rsid w:val="00891CA1"/>
    <w:rsid w:val="00893D3F"/>
    <w:rsid w:val="008A42A8"/>
    <w:rsid w:val="008B19E4"/>
    <w:rsid w:val="008B497F"/>
    <w:rsid w:val="008C091D"/>
    <w:rsid w:val="008C240F"/>
    <w:rsid w:val="008C5DD7"/>
    <w:rsid w:val="008C68A7"/>
    <w:rsid w:val="008E09B1"/>
    <w:rsid w:val="008F0F99"/>
    <w:rsid w:val="008F2262"/>
    <w:rsid w:val="008F50D4"/>
    <w:rsid w:val="008F71F6"/>
    <w:rsid w:val="008F790D"/>
    <w:rsid w:val="00903428"/>
    <w:rsid w:val="00903FD0"/>
    <w:rsid w:val="009059B0"/>
    <w:rsid w:val="00927E77"/>
    <w:rsid w:val="009305E8"/>
    <w:rsid w:val="00932CC4"/>
    <w:rsid w:val="00933395"/>
    <w:rsid w:val="0093553B"/>
    <w:rsid w:val="009461DD"/>
    <w:rsid w:val="00946ADF"/>
    <w:rsid w:val="00953B72"/>
    <w:rsid w:val="00954A64"/>
    <w:rsid w:val="0095582C"/>
    <w:rsid w:val="0095797B"/>
    <w:rsid w:val="009717E1"/>
    <w:rsid w:val="00985EA9"/>
    <w:rsid w:val="009928C6"/>
    <w:rsid w:val="009A1BAE"/>
    <w:rsid w:val="009A4922"/>
    <w:rsid w:val="009B1A02"/>
    <w:rsid w:val="009C2158"/>
    <w:rsid w:val="009C58E6"/>
    <w:rsid w:val="009E1A27"/>
    <w:rsid w:val="009E3886"/>
    <w:rsid w:val="00A03313"/>
    <w:rsid w:val="00A04C76"/>
    <w:rsid w:val="00A16A7C"/>
    <w:rsid w:val="00A24CEE"/>
    <w:rsid w:val="00A3508E"/>
    <w:rsid w:val="00A4164D"/>
    <w:rsid w:val="00A44E96"/>
    <w:rsid w:val="00A46D5D"/>
    <w:rsid w:val="00A51D7E"/>
    <w:rsid w:val="00A62AF3"/>
    <w:rsid w:val="00A62C35"/>
    <w:rsid w:val="00A7276B"/>
    <w:rsid w:val="00A74C65"/>
    <w:rsid w:val="00A76AAA"/>
    <w:rsid w:val="00A811AF"/>
    <w:rsid w:val="00A814CC"/>
    <w:rsid w:val="00A818E1"/>
    <w:rsid w:val="00A918A6"/>
    <w:rsid w:val="00A92183"/>
    <w:rsid w:val="00A9291D"/>
    <w:rsid w:val="00A945CB"/>
    <w:rsid w:val="00AA22FE"/>
    <w:rsid w:val="00AA4BB8"/>
    <w:rsid w:val="00AB6448"/>
    <w:rsid w:val="00AC4080"/>
    <w:rsid w:val="00AC7839"/>
    <w:rsid w:val="00AD33EE"/>
    <w:rsid w:val="00AE245E"/>
    <w:rsid w:val="00AE35CF"/>
    <w:rsid w:val="00AE4218"/>
    <w:rsid w:val="00AE4763"/>
    <w:rsid w:val="00AF09E4"/>
    <w:rsid w:val="00AF33FF"/>
    <w:rsid w:val="00B01DB8"/>
    <w:rsid w:val="00B02CA6"/>
    <w:rsid w:val="00B0546C"/>
    <w:rsid w:val="00B106A1"/>
    <w:rsid w:val="00B10E19"/>
    <w:rsid w:val="00B14952"/>
    <w:rsid w:val="00B15E78"/>
    <w:rsid w:val="00B17361"/>
    <w:rsid w:val="00B23A4C"/>
    <w:rsid w:val="00B24D48"/>
    <w:rsid w:val="00B25016"/>
    <w:rsid w:val="00B25764"/>
    <w:rsid w:val="00B35A13"/>
    <w:rsid w:val="00B37A55"/>
    <w:rsid w:val="00B40753"/>
    <w:rsid w:val="00B407B6"/>
    <w:rsid w:val="00B4150E"/>
    <w:rsid w:val="00B46B31"/>
    <w:rsid w:val="00B502E3"/>
    <w:rsid w:val="00B519B7"/>
    <w:rsid w:val="00B51A81"/>
    <w:rsid w:val="00B64956"/>
    <w:rsid w:val="00B704A6"/>
    <w:rsid w:val="00B762BC"/>
    <w:rsid w:val="00B82494"/>
    <w:rsid w:val="00B87649"/>
    <w:rsid w:val="00B9099B"/>
    <w:rsid w:val="00B96030"/>
    <w:rsid w:val="00BA5F40"/>
    <w:rsid w:val="00BB2379"/>
    <w:rsid w:val="00BC3293"/>
    <w:rsid w:val="00BC529F"/>
    <w:rsid w:val="00BC5D64"/>
    <w:rsid w:val="00BC6300"/>
    <w:rsid w:val="00BD079B"/>
    <w:rsid w:val="00BD704D"/>
    <w:rsid w:val="00BE1906"/>
    <w:rsid w:val="00BF1073"/>
    <w:rsid w:val="00BF297D"/>
    <w:rsid w:val="00C01AAF"/>
    <w:rsid w:val="00C03396"/>
    <w:rsid w:val="00C27626"/>
    <w:rsid w:val="00C27958"/>
    <w:rsid w:val="00C31865"/>
    <w:rsid w:val="00C3406F"/>
    <w:rsid w:val="00C36E17"/>
    <w:rsid w:val="00C419D6"/>
    <w:rsid w:val="00C4382B"/>
    <w:rsid w:val="00C5194B"/>
    <w:rsid w:val="00C51D20"/>
    <w:rsid w:val="00C564B1"/>
    <w:rsid w:val="00C622ED"/>
    <w:rsid w:val="00C6760D"/>
    <w:rsid w:val="00C76011"/>
    <w:rsid w:val="00C776C2"/>
    <w:rsid w:val="00C82FBA"/>
    <w:rsid w:val="00C86727"/>
    <w:rsid w:val="00C904A6"/>
    <w:rsid w:val="00C956B1"/>
    <w:rsid w:val="00C97A77"/>
    <w:rsid w:val="00CA5356"/>
    <w:rsid w:val="00CB0CEF"/>
    <w:rsid w:val="00CB1901"/>
    <w:rsid w:val="00CB204E"/>
    <w:rsid w:val="00CC5C58"/>
    <w:rsid w:val="00CD5EF9"/>
    <w:rsid w:val="00CE78A8"/>
    <w:rsid w:val="00D116C1"/>
    <w:rsid w:val="00D1323A"/>
    <w:rsid w:val="00D14BDF"/>
    <w:rsid w:val="00D159D0"/>
    <w:rsid w:val="00D16AB8"/>
    <w:rsid w:val="00D23D0F"/>
    <w:rsid w:val="00D24EA0"/>
    <w:rsid w:val="00D26A87"/>
    <w:rsid w:val="00D343F4"/>
    <w:rsid w:val="00D65B11"/>
    <w:rsid w:val="00D753FB"/>
    <w:rsid w:val="00D844D1"/>
    <w:rsid w:val="00D93F67"/>
    <w:rsid w:val="00D96F41"/>
    <w:rsid w:val="00DA6035"/>
    <w:rsid w:val="00DB40D5"/>
    <w:rsid w:val="00DB5F1F"/>
    <w:rsid w:val="00DC221A"/>
    <w:rsid w:val="00DC285E"/>
    <w:rsid w:val="00DC3AA3"/>
    <w:rsid w:val="00DD36E2"/>
    <w:rsid w:val="00DD417B"/>
    <w:rsid w:val="00DD6DE2"/>
    <w:rsid w:val="00DE548E"/>
    <w:rsid w:val="00DF26BE"/>
    <w:rsid w:val="00DF3395"/>
    <w:rsid w:val="00E02244"/>
    <w:rsid w:val="00E156EA"/>
    <w:rsid w:val="00E1598D"/>
    <w:rsid w:val="00E159FA"/>
    <w:rsid w:val="00E32969"/>
    <w:rsid w:val="00E3351D"/>
    <w:rsid w:val="00E61EB2"/>
    <w:rsid w:val="00E64C08"/>
    <w:rsid w:val="00E666E9"/>
    <w:rsid w:val="00E70481"/>
    <w:rsid w:val="00E84AEA"/>
    <w:rsid w:val="00E84BED"/>
    <w:rsid w:val="00E86B96"/>
    <w:rsid w:val="00EA00D3"/>
    <w:rsid w:val="00EA1734"/>
    <w:rsid w:val="00EA2623"/>
    <w:rsid w:val="00EA32E7"/>
    <w:rsid w:val="00EA4C87"/>
    <w:rsid w:val="00EA7D46"/>
    <w:rsid w:val="00EB0DFC"/>
    <w:rsid w:val="00EB4D28"/>
    <w:rsid w:val="00EB5ABC"/>
    <w:rsid w:val="00EB77BD"/>
    <w:rsid w:val="00EC30F2"/>
    <w:rsid w:val="00ED36F3"/>
    <w:rsid w:val="00ED3813"/>
    <w:rsid w:val="00ED6021"/>
    <w:rsid w:val="00EE3D59"/>
    <w:rsid w:val="00EE3D93"/>
    <w:rsid w:val="00EF19FF"/>
    <w:rsid w:val="00EF446F"/>
    <w:rsid w:val="00EF4B1F"/>
    <w:rsid w:val="00EF5156"/>
    <w:rsid w:val="00F02F4D"/>
    <w:rsid w:val="00F15E1F"/>
    <w:rsid w:val="00F17C95"/>
    <w:rsid w:val="00F37C01"/>
    <w:rsid w:val="00F43AB1"/>
    <w:rsid w:val="00F4468E"/>
    <w:rsid w:val="00F50938"/>
    <w:rsid w:val="00F55C8D"/>
    <w:rsid w:val="00F64C73"/>
    <w:rsid w:val="00F67706"/>
    <w:rsid w:val="00F71CB0"/>
    <w:rsid w:val="00F72590"/>
    <w:rsid w:val="00F76AD7"/>
    <w:rsid w:val="00F7726B"/>
    <w:rsid w:val="00F939FD"/>
    <w:rsid w:val="00F93D29"/>
    <w:rsid w:val="00F95C7E"/>
    <w:rsid w:val="00FB1AD1"/>
    <w:rsid w:val="00FC27F2"/>
    <w:rsid w:val="00FC48B0"/>
    <w:rsid w:val="00FC74EB"/>
    <w:rsid w:val="00FE3764"/>
    <w:rsid w:val="00FF02C8"/>
    <w:rsid w:val="00FF5B4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62E"/>
  <w15:docId w15:val="{D4473017-0C77-4B10-A11A-5F1249C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9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9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29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229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29D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3A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229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22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229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2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Age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University!$A$68:$A$73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University!$D$68:$D$73</c:f>
              <c:numCache>
                <c:formatCode>0%</c:formatCode>
                <c:ptCount val="6"/>
                <c:pt idx="0">
                  <c:v>0.26666666666666666</c:v>
                </c:pt>
                <c:pt idx="1">
                  <c:v>0.1508828250401284</c:v>
                </c:pt>
                <c:pt idx="2">
                  <c:v>7.5874769797421734E-2</c:v>
                </c:pt>
                <c:pt idx="3">
                  <c:v>4.7049112670243497E-2</c:v>
                </c:pt>
                <c:pt idx="4">
                  <c:v>3.3099297893681046E-2</c:v>
                </c:pt>
                <c:pt idx="5">
                  <c:v>2.6004728132387706E-2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F9-4481-B949-EF4D981F2B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8528192"/>
        <c:axId val="298528584"/>
      </c:barChart>
      <c:catAx>
        <c:axId val="29852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8528584"/>
        <c:crosses val="autoZero"/>
        <c:auto val="1"/>
        <c:lblAlgn val="ctr"/>
        <c:lblOffset val="100"/>
        <c:noMultiLvlLbl val="0"/>
      </c:catAx>
      <c:valAx>
        <c:axId val="29852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852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Caring Responsibilities(%)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University!$A$96:$A$99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University!$D$96:$D$99</c:f>
              <c:numCache>
                <c:formatCode>0%</c:formatCode>
                <c:ptCount val="4"/>
                <c:pt idx="0">
                  <c:v>0.04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CF-4FC2-BFB3-723867F840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179488"/>
        <c:axId val="277179880"/>
      </c:barChart>
      <c:catAx>
        <c:axId val="27717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77179880"/>
        <c:crosses val="autoZero"/>
        <c:auto val="1"/>
        <c:lblAlgn val="ctr"/>
        <c:lblOffset val="100"/>
        <c:noMultiLvlLbl val="0"/>
      </c:catAx>
      <c:valAx>
        <c:axId val="277179880"/>
        <c:scaling>
          <c:orientation val="minMax"/>
          <c:max val="0.1500000000000000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7717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Disability (%) 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University!$A$28:$A$31</c:f>
              <c:strCache>
                <c:ptCount val="4"/>
                <c:pt idx="0">
                  <c:v>Disabled</c:v>
                </c:pt>
                <c:pt idx="1">
                  <c:v>No known disability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University!$D$28:$D$31</c:f>
              <c:numCache>
                <c:formatCode>0%</c:formatCode>
                <c:ptCount val="4"/>
                <c:pt idx="0">
                  <c:v>0.04</c:v>
                </c:pt>
                <c:pt idx="1">
                  <c:v>0.06</c:v>
                </c:pt>
                <c:pt idx="2">
                  <c:v>0.06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8B-47B3-B43A-61D0570E76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180664"/>
        <c:axId val="296893480"/>
      </c:barChart>
      <c:catAx>
        <c:axId val="27718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6893480"/>
        <c:crosses val="autoZero"/>
        <c:auto val="1"/>
        <c:lblAlgn val="ctr"/>
        <c:lblOffset val="100"/>
        <c:noMultiLvlLbl val="0"/>
      </c:catAx>
      <c:valAx>
        <c:axId val="296893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77180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Ethnicity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University!$A$18:$A$21</c:f>
              <c:strCache>
                <c:ptCount val="4"/>
                <c:pt idx="0">
                  <c:v>BAME</c:v>
                </c:pt>
                <c:pt idx="1">
                  <c:v>White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University!$D$18:$D$21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0.06</c:v>
                </c:pt>
                <c:pt idx="2">
                  <c:v>0.06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62-4637-85BE-E1AFC87AEE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005640"/>
        <c:axId val="155006032"/>
      </c:barChart>
      <c:catAx>
        <c:axId val="15500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006032"/>
        <c:crosses val="autoZero"/>
        <c:auto val="1"/>
        <c:lblAlgn val="ctr"/>
        <c:lblOffset val="100"/>
        <c:noMultiLvlLbl val="0"/>
      </c:catAx>
      <c:valAx>
        <c:axId val="155006032"/>
        <c:scaling>
          <c:orientation val="minMax"/>
          <c:max val="0.1500000000000000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005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Gender (%) 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University!$A$7:$A$11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University!$D$7:$D$11</c:f>
              <c:numCache>
                <c:formatCode>0%</c:formatCode>
                <c:ptCount val="5"/>
                <c:pt idx="0">
                  <c:v>7.0520460866110454E-2</c:v>
                </c:pt>
                <c:pt idx="1">
                  <c:v>5.8738911532006714E-2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4F-42E9-BB36-D05C804E4B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2288544"/>
        <c:axId val="282135240"/>
      </c:barChart>
      <c:catAx>
        <c:axId val="28228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2135240"/>
        <c:crosses val="autoZero"/>
        <c:auto val="1"/>
        <c:lblAlgn val="ctr"/>
        <c:lblOffset val="100"/>
        <c:noMultiLvlLbl val="0"/>
      </c:catAx>
      <c:valAx>
        <c:axId val="282135240"/>
        <c:scaling>
          <c:orientation val="minMax"/>
          <c:max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228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Religion or Belief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University!$A$38:$A$48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University!$D$38:$D$48</c:f>
              <c:numCache>
                <c:formatCode>0%</c:formatCode>
                <c:ptCount val="11"/>
                <c:pt idx="0">
                  <c:v>7.2727272727272724E-2</c:v>
                </c:pt>
                <c:pt idx="1">
                  <c:v>5.1827857473391949E-2</c:v>
                </c:pt>
                <c:pt idx="2">
                  <c:v>9.0909090909090912E-2</c:v>
                </c:pt>
                <c:pt idx="3">
                  <c:v>3.9215686274509803E-2</c:v>
                </c:pt>
                <c:pt idx="4">
                  <c:v>7.7981651376146793E-2</c:v>
                </c:pt>
                <c:pt idx="5">
                  <c:v>2.0408163265306121E-2</c:v>
                </c:pt>
                <c:pt idx="6">
                  <c:v>0</c:v>
                </c:pt>
                <c:pt idx="7">
                  <c:v>6.2464985994397759E-2</c:v>
                </c:pt>
                <c:pt idx="8">
                  <c:v>8.6956521739130432E-2</c:v>
                </c:pt>
                <c:pt idx="9">
                  <c:v>6.5111758989310015E-2</c:v>
                </c:pt>
                <c:pt idx="10">
                  <c:v>8.3016820401519267E-2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21-4365-B491-0613433EF8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615072"/>
        <c:axId val="300615464"/>
      </c:barChart>
      <c:catAx>
        <c:axId val="3006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0615464"/>
        <c:crosses val="autoZero"/>
        <c:auto val="1"/>
        <c:lblAlgn val="ctr"/>
        <c:lblOffset val="100"/>
        <c:noMultiLvlLbl val="0"/>
      </c:catAx>
      <c:valAx>
        <c:axId val="300615464"/>
        <c:scaling>
          <c:orientation val="minMax"/>
          <c:max val="0.1500000000000000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061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Sexual Orientation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University!$A$55:$A$61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University!$D$55:$D$61</c:f>
              <c:numCache>
                <c:formatCode>0%</c:formatCode>
                <c:ptCount val="7"/>
                <c:pt idx="0">
                  <c:v>0.08</c:v>
                </c:pt>
                <c:pt idx="1">
                  <c:v>0.09</c:v>
                </c:pt>
                <c:pt idx="2">
                  <c:v>0.09</c:v>
                </c:pt>
                <c:pt idx="3">
                  <c:v>0.06</c:v>
                </c:pt>
                <c:pt idx="4">
                  <c:v>0.02</c:v>
                </c:pt>
                <c:pt idx="5">
                  <c:v>7.0000000000000007E-2</c:v>
                </c:pt>
                <c:pt idx="6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07-4F6A-9EC3-ED57A9F2BE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616248"/>
        <c:axId val="300616640"/>
      </c:barChart>
      <c:catAx>
        <c:axId val="30061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0616640"/>
        <c:crosses val="autoZero"/>
        <c:auto val="1"/>
        <c:lblAlgn val="ctr"/>
        <c:lblOffset val="100"/>
        <c:noMultiLvlLbl val="0"/>
      </c:catAx>
      <c:valAx>
        <c:axId val="30061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0616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Contract Status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University!$A$80:$A$81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University!$D$80:$D$81</c:f>
              <c:numCache>
                <c:formatCode>0%</c:formatCode>
                <c:ptCount val="2"/>
                <c:pt idx="0">
                  <c:v>0.06</c:v>
                </c:pt>
                <c:pt idx="1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33-4537-AD63-64F0EDBE7C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422064"/>
        <c:axId val="299870272"/>
      </c:barChart>
      <c:catAx>
        <c:axId val="2774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9870272"/>
        <c:crosses val="autoZero"/>
        <c:auto val="1"/>
        <c:lblAlgn val="ctr"/>
        <c:lblOffset val="100"/>
        <c:noMultiLvlLbl val="0"/>
      </c:catAx>
      <c:valAx>
        <c:axId val="299870272"/>
        <c:scaling>
          <c:orientation val="minMax"/>
          <c:max val="0.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42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All Staff Turnover by Contract Type (%)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University!$A$88:$A$89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University!$D$88:$D$89</c:f>
              <c:numCache>
                <c:formatCode>0%</c:formatCode>
                <c:ptCount val="2"/>
                <c:pt idx="0">
                  <c:v>0.13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79-4F03-898A-9746B2D60D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9871056"/>
        <c:axId val="299871448"/>
      </c:barChart>
      <c:catAx>
        <c:axId val="29987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871448"/>
        <c:crosses val="autoZero"/>
        <c:auto val="1"/>
        <c:lblAlgn val="ctr"/>
        <c:lblOffset val="100"/>
        <c:noMultiLvlLbl val="0"/>
      </c:catAx>
      <c:valAx>
        <c:axId val="299871448"/>
        <c:scaling>
          <c:orientation val="minMax"/>
          <c:max val="0.1500000000000000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87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C7B9-FBAE-4DC2-BC29-B694E1AFE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131AC-B90C-4921-A26B-FE802F17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47968-9577-4A96-8234-C3C9C2FA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25768-941B-40C0-853B-AC793510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Keeble</cp:lastModifiedBy>
  <cp:revision>94</cp:revision>
  <cp:lastPrinted>2018-01-24T15:28:00Z</cp:lastPrinted>
  <dcterms:created xsi:type="dcterms:W3CDTF">2021-01-17T12:45:00Z</dcterms:created>
  <dcterms:modified xsi:type="dcterms:W3CDTF">2021-01-28T21:38:00Z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