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28" w:rsidRPr="003A490B" w:rsidRDefault="000A1828" w:rsidP="00F76087">
      <w:pPr>
        <w:pStyle w:val="Heading1"/>
      </w:pPr>
      <w:bookmarkStart w:id="0" w:name="_Toc62685193"/>
      <w:r w:rsidRPr="003A490B">
        <w:t>University of Leeds undergra</w:t>
      </w:r>
      <w:r w:rsidR="00AE0AEA" w:rsidRPr="003A490B">
        <w:t>duate degr</w:t>
      </w:r>
      <w:r w:rsidR="00C14219" w:rsidRPr="003A490B">
        <w:t>ee classification 201</w:t>
      </w:r>
      <w:r w:rsidR="00294A37">
        <w:t>9</w:t>
      </w:r>
      <w:r w:rsidR="00063872" w:rsidRPr="003A490B">
        <w:t>-</w:t>
      </w:r>
      <w:r w:rsidR="00294A37">
        <w:t>20</w:t>
      </w:r>
      <w:r w:rsidRPr="003A490B">
        <w:t xml:space="preserve"> by protected characteristic</w:t>
      </w:r>
      <w:bookmarkEnd w:id="0"/>
    </w:p>
    <w:p w:rsidR="009A064A" w:rsidRDefault="009A064A" w:rsidP="000A1828">
      <w:pPr>
        <w:ind w:left="-142"/>
        <w:rPr>
          <w:sz w:val="22"/>
          <w:szCs w:val="22"/>
        </w:rPr>
      </w:pPr>
    </w:p>
    <w:sdt>
      <w:sdtPr>
        <w:rPr>
          <w:rFonts w:eastAsiaTheme="minorHAnsi" w:cs="Arial"/>
          <w:b w:val="0"/>
          <w:bCs w:val="0"/>
          <w:sz w:val="24"/>
          <w:szCs w:val="24"/>
        </w:rPr>
        <w:id w:val="15271371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3648A" w:rsidRDefault="0003648A">
          <w:pPr>
            <w:pStyle w:val="TOCHeading"/>
          </w:pPr>
          <w:r>
            <w:t>Conten</w:t>
          </w:r>
          <w:bookmarkStart w:id="1" w:name="_GoBack"/>
          <w:bookmarkEnd w:id="1"/>
          <w:r>
            <w:t>ts</w:t>
          </w:r>
        </w:p>
        <w:p w:rsidR="00826BF8" w:rsidRDefault="0003648A">
          <w:pPr>
            <w:pStyle w:val="TOC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826BF8" w:rsidRDefault="00826BF8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194" w:history="1">
            <w:r w:rsidRPr="00D429F7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195" w:history="1">
            <w:r w:rsidRPr="00D429F7">
              <w:rPr>
                <w:rStyle w:val="Hyperlink"/>
                <w:noProof/>
              </w:rPr>
              <w:t>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196" w:history="1">
            <w:r w:rsidRPr="00D429F7">
              <w:rPr>
                <w:rStyle w:val="Hyperlink"/>
                <w:noProof/>
              </w:rPr>
              <w:t>Home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197" w:history="1">
            <w:r w:rsidRPr="00D429F7">
              <w:rPr>
                <w:rStyle w:val="Hyperlink"/>
                <w:noProof/>
              </w:rPr>
              <w:t>EU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198" w:history="1">
            <w:r w:rsidRPr="00D429F7">
              <w:rPr>
                <w:rStyle w:val="Hyperlink"/>
                <w:noProof/>
              </w:rPr>
              <w:t>Overseas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199" w:history="1">
            <w:r w:rsidRPr="00D429F7">
              <w:rPr>
                <w:rStyle w:val="Hyperlink"/>
                <w:noProof/>
              </w:rPr>
              <w:t>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200" w:history="1">
            <w:r w:rsidRPr="00D429F7">
              <w:rPr>
                <w:rStyle w:val="Hyperlink"/>
                <w:noProof/>
              </w:rPr>
              <w:t>Home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201" w:history="1">
            <w:r w:rsidRPr="00D429F7">
              <w:rPr>
                <w:rStyle w:val="Hyperlink"/>
                <w:noProof/>
              </w:rPr>
              <w:t>EU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202" w:history="1">
            <w:r w:rsidRPr="00D429F7">
              <w:rPr>
                <w:rStyle w:val="Hyperlink"/>
                <w:noProof/>
              </w:rPr>
              <w:t>Overseas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203" w:history="1">
            <w:r w:rsidRPr="00D429F7">
              <w:rPr>
                <w:rStyle w:val="Hyperlink"/>
                <w:noProof/>
              </w:rPr>
              <w:t>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204" w:history="1">
            <w:r w:rsidRPr="00D429F7">
              <w:rPr>
                <w:rStyle w:val="Hyperlink"/>
                <w:noProof/>
              </w:rPr>
              <w:t>Home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205" w:history="1">
            <w:r w:rsidRPr="00D429F7">
              <w:rPr>
                <w:rStyle w:val="Hyperlink"/>
                <w:noProof/>
              </w:rPr>
              <w:t>EU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206" w:history="1">
            <w:r w:rsidRPr="00D429F7">
              <w:rPr>
                <w:rStyle w:val="Hyperlink"/>
                <w:noProof/>
              </w:rPr>
              <w:t>Overseas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207" w:history="1">
            <w:r w:rsidRPr="00D429F7">
              <w:rPr>
                <w:rStyle w:val="Hyperlink"/>
                <w:noProof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208" w:history="1">
            <w:r w:rsidRPr="00D429F7">
              <w:rPr>
                <w:rStyle w:val="Hyperlink"/>
                <w:noProof/>
              </w:rPr>
              <w:t>Home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209" w:history="1">
            <w:r w:rsidRPr="00D429F7">
              <w:rPr>
                <w:rStyle w:val="Hyperlink"/>
                <w:noProof/>
              </w:rPr>
              <w:t>EU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BF8" w:rsidRDefault="00826BF8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5210" w:history="1">
            <w:r w:rsidRPr="00D429F7">
              <w:rPr>
                <w:rStyle w:val="Hyperlink"/>
                <w:noProof/>
              </w:rPr>
              <w:t>Overseas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E2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48A" w:rsidRDefault="0003648A">
          <w:r>
            <w:rPr>
              <w:b/>
              <w:bCs/>
              <w:noProof/>
            </w:rPr>
            <w:fldChar w:fldCharType="end"/>
          </w:r>
        </w:p>
      </w:sdtContent>
    </w:sdt>
    <w:p w:rsidR="00F76087" w:rsidRDefault="00F76087" w:rsidP="000A1828">
      <w:pPr>
        <w:ind w:left="-142"/>
        <w:rPr>
          <w:sz w:val="22"/>
          <w:szCs w:val="22"/>
        </w:rPr>
      </w:pPr>
    </w:p>
    <w:p w:rsidR="00826BF8" w:rsidRDefault="00826BF8">
      <w:pPr>
        <w:spacing w:before="0" w:after="200"/>
        <w:rPr>
          <w:rFonts w:eastAsiaTheme="majorEastAsia"/>
          <w:b/>
          <w:bCs/>
          <w:sz w:val="32"/>
          <w:szCs w:val="26"/>
        </w:rPr>
      </w:pPr>
      <w:bookmarkStart w:id="2" w:name="_Toc62685194"/>
      <w:r>
        <w:br w:type="page"/>
      </w:r>
    </w:p>
    <w:p w:rsidR="00F76087" w:rsidRPr="009A4A26" w:rsidRDefault="00F76087" w:rsidP="00826BF8">
      <w:pPr>
        <w:pStyle w:val="Heading2"/>
      </w:pPr>
      <w:r>
        <w:lastRenderedPageBreak/>
        <w:t>Introduction</w:t>
      </w:r>
      <w:bookmarkEnd w:id="2"/>
    </w:p>
    <w:p w:rsidR="001630E8" w:rsidRDefault="001630E8" w:rsidP="001630E8">
      <w:pPr>
        <w:spacing w:line="360" w:lineRule="auto"/>
      </w:pPr>
    </w:p>
    <w:p w:rsidR="00063872" w:rsidRPr="009A4A26" w:rsidRDefault="009A064A" w:rsidP="001630E8">
      <w:pPr>
        <w:spacing w:line="360" w:lineRule="auto"/>
      </w:pPr>
      <w:r w:rsidRPr="009A4A26">
        <w:t xml:space="preserve">The following data provide information on the degree classification of students completing </w:t>
      </w:r>
      <w:r w:rsidR="005F31EA" w:rsidRPr="009A4A26">
        <w:t>an</w:t>
      </w:r>
      <w:r w:rsidR="00730B75" w:rsidRPr="009A4A26">
        <w:t xml:space="preserve"> undergraduate </w:t>
      </w:r>
      <w:r w:rsidR="006A3CFB" w:rsidRPr="009A4A26">
        <w:t xml:space="preserve">(UG) </w:t>
      </w:r>
      <w:r w:rsidR="00730B75" w:rsidRPr="009A4A26">
        <w:t xml:space="preserve">course, by </w:t>
      </w:r>
      <w:r w:rsidR="00BC573E" w:rsidRPr="009A4A26">
        <w:t xml:space="preserve">the following protected characteristics: </w:t>
      </w:r>
      <w:r w:rsidR="005F31EA" w:rsidRPr="009A4A26">
        <w:t>a</w:t>
      </w:r>
      <w:r w:rsidR="00730B75" w:rsidRPr="009A4A26">
        <w:t>ge</w:t>
      </w:r>
      <w:r w:rsidR="00BC573E" w:rsidRPr="009A4A26">
        <w:t>;</w:t>
      </w:r>
      <w:r w:rsidR="00730B75" w:rsidRPr="009A4A26">
        <w:t xml:space="preserve"> disability</w:t>
      </w:r>
      <w:r w:rsidR="00BC573E" w:rsidRPr="009A4A26">
        <w:t>;</w:t>
      </w:r>
      <w:r w:rsidR="00730B75" w:rsidRPr="009A4A26">
        <w:t xml:space="preserve"> ethnicity</w:t>
      </w:r>
      <w:r w:rsidR="00BC573E" w:rsidRPr="009A4A26">
        <w:t>;</w:t>
      </w:r>
      <w:r w:rsidR="00730B75" w:rsidRPr="009A4A26">
        <w:t xml:space="preserve"> </w:t>
      </w:r>
      <w:r w:rsidR="005F31EA" w:rsidRPr="009A4A26">
        <w:t>and gender</w:t>
      </w:r>
      <w:r w:rsidR="0059354B" w:rsidRPr="009A4A26">
        <w:t>.</w:t>
      </w:r>
    </w:p>
    <w:p w:rsidR="00DC06EA" w:rsidRDefault="00DC06EA" w:rsidP="00BC03A2">
      <w:pPr>
        <w:spacing w:line="360" w:lineRule="auto"/>
      </w:pPr>
    </w:p>
    <w:p w:rsidR="00AB723C" w:rsidRDefault="00063872" w:rsidP="00BC03A2">
      <w:pPr>
        <w:spacing w:line="360" w:lineRule="auto"/>
      </w:pPr>
      <w:r w:rsidRPr="009A4A26">
        <w:t>During the academic year 201</w:t>
      </w:r>
      <w:r w:rsidR="00294A37">
        <w:t>9</w:t>
      </w:r>
      <w:r w:rsidR="00ED2F63">
        <w:t>-</w:t>
      </w:r>
      <w:r w:rsidR="00294A37">
        <w:t>20</w:t>
      </w:r>
      <w:r w:rsidRPr="009A4A26">
        <w:t xml:space="preserve"> </w:t>
      </w:r>
      <w:r w:rsidR="00403656" w:rsidRPr="009A4A26">
        <w:t xml:space="preserve">a total of </w:t>
      </w:r>
      <w:r w:rsidR="00E62766">
        <w:t>5,</w:t>
      </w:r>
      <w:r w:rsidR="000059CB">
        <w:t>563</w:t>
      </w:r>
      <w:r w:rsidR="007E2CBB" w:rsidRPr="009A4A26">
        <w:t xml:space="preserve"> </w:t>
      </w:r>
      <w:r w:rsidR="00403656" w:rsidRPr="009A4A26">
        <w:t xml:space="preserve">Home </w:t>
      </w:r>
      <w:r w:rsidR="007E2CBB" w:rsidRPr="009A4A26">
        <w:t xml:space="preserve">UG </w:t>
      </w:r>
      <w:r w:rsidR="00403656" w:rsidRPr="009A4A26">
        <w:t>students</w:t>
      </w:r>
      <w:r w:rsidR="000059CB">
        <w:t xml:space="preserve">, 245 EU students and 771 </w:t>
      </w:r>
      <w:proofErr w:type="gramStart"/>
      <w:r w:rsidR="000059CB">
        <w:t>Overseas</w:t>
      </w:r>
      <w:proofErr w:type="gramEnd"/>
      <w:r w:rsidR="000059CB">
        <w:t xml:space="preserve"> students</w:t>
      </w:r>
      <w:r w:rsidR="00403656" w:rsidRPr="009A4A26">
        <w:t xml:space="preserve"> </w:t>
      </w:r>
      <w:r w:rsidR="007E2CBB" w:rsidRPr="009A4A26">
        <w:t>were due to graduate</w:t>
      </w:r>
      <w:r w:rsidR="00403656" w:rsidRPr="009A4A26">
        <w:t xml:space="preserve">. Of these </w:t>
      </w:r>
      <w:r w:rsidR="00C915BC" w:rsidRPr="009A4A26">
        <w:t xml:space="preserve">graduations, </w:t>
      </w:r>
      <w:r w:rsidR="00403656" w:rsidRPr="009A4A26">
        <w:rPr>
          <w:i/>
        </w:rPr>
        <w:t>classified</w:t>
      </w:r>
      <w:r w:rsidR="00403656" w:rsidRPr="009A4A26">
        <w:t xml:space="preserve"> degrees accounted for </w:t>
      </w:r>
      <w:r w:rsidR="00E62766">
        <w:t>5,</w:t>
      </w:r>
      <w:r w:rsidR="000059CB">
        <w:t>287, 242 and 745 students respectively</w:t>
      </w:r>
      <w:r w:rsidR="00403656" w:rsidRPr="009A4A26">
        <w:t xml:space="preserve">. Unclassified degrees include, for example, Medical and Dental students whose degrees are not </w:t>
      </w:r>
      <w:r w:rsidR="00C915BC" w:rsidRPr="009A4A26">
        <w:t>graded in the same way</w:t>
      </w:r>
      <w:r w:rsidR="00403656" w:rsidRPr="009A4A26">
        <w:t>.</w:t>
      </w:r>
      <w:r w:rsidR="00DF7C54">
        <w:t xml:space="preserve"> </w:t>
      </w:r>
      <w:r w:rsidR="004C55A3">
        <w:t>This report considers only classified degrees</w:t>
      </w:r>
      <w:r w:rsidR="00C915BC" w:rsidRPr="009A4A26">
        <w:t xml:space="preserve">. </w:t>
      </w:r>
    </w:p>
    <w:p w:rsidR="00DC06EA" w:rsidRDefault="007E2CBB" w:rsidP="00BC03A2">
      <w:pPr>
        <w:spacing w:line="360" w:lineRule="auto"/>
      </w:pPr>
      <w:r w:rsidRPr="009A4A26">
        <w:t>During 201</w:t>
      </w:r>
      <w:r w:rsidR="00294A37">
        <w:t>9</w:t>
      </w:r>
      <w:r w:rsidR="000240A2">
        <w:t>-</w:t>
      </w:r>
      <w:r w:rsidR="00294A37">
        <w:t>20</w:t>
      </w:r>
      <w:r w:rsidR="00E80704">
        <w:t>, 89</w:t>
      </w:r>
      <w:r w:rsidRPr="009A4A26">
        <w:t xml:space="preserve">% of those due to graduate with a classified degree </w:t>
      </w:r>
      <w:r w:rsidR="00C402C4">
        <w:t xml:space="preserve">were awarded </w:t>
      </w:r>
      <w:r w:rsidRPr="009A4A26">
        <w:t xml:space="preserve">a I or a </w:t>
      </w:r>
      <w:proofErr w:type="gramStart"/>
      <w:r w:rsidRPr="009A4A26">
        <w:t>II(</w:t>
      </w:r>
      <w:proofErr w:type="spellStart"/>
      <w:proofErr w:type="gramEnd"/>
      <w:r w:rsidRPr="009A4A26">
        <w:t>i</w:t>
      </w:r>
      <w:proofErr w:type="spellEnd"/>
      <w:r w:rsidRPr="009A4A26">
        <w:t xml:space="preserve">). </w:t>
      </w:r>
      <w:r w:rsidR="00C915BC" w:rsidRPr="009A4A26">
        <w:t xml:space="preserve">For reference, </w:t>
      </w:r>
      <w:r w:rsidRPr="009A4A26">
        <w:t xml:space="preserve">a total of </w:t>
      </w:r>
      <w:r w:rsidR="00081E7A">
        <w:t>5,</w:t>
      </w:r>
      <w:r w:rsidR="00787B48">
        <w:t>659</w:t>
      </w:r>
      <w:r w:rsidRPr="009A4A26">
        <w:t xml:space="preserve"> students were due to graduate in 201</w:t>
      </w:r>
      <w:r w:rsidR="00294A37">
        <w:t>8</w:t>
      </w:r>
      <w:r w:rsidR="000411FD">
        <w:t>-1</w:t>
      </w:r>
      <w:r w:rsidR="00294A37">
        <w:t>9</w:t>
      </w:r>
      <w:r w:rsidRPr="009A4A26">
        <w:t xml:space="preserve"> of which 8</w:t>
      </w:r>
      <w:r w:rsidR="00294A37">
        <w:t>9</w:t>
      </w:r>
      <w:r w:rsidRPr="009A4A26">
        <w:t xml:space="preserve">% </w:t>
      </w:r>
      <w:r w:rsidR="00C402C4">
        <w:t>were awarded</w:t>
      </w:r>
      <w:r w:rsidRPr="009A4A26">
        <w:t xml:space="preserve"> a I or </w:t>
      </w:r>
      <w:proofErr w:type="gramStart"/>
      <w:r w:rsidRPr="009A4A26">
        <w:t>II(</w:t>
      </w:r>
      <w:proofErr w:type="spellStart"/>
      <w:proofErr w:type="gramEnd"/>
      <w:r w:rsidRPr="009A4A26">
        <w:t>i</w:t>
      </w:r>
      <w:proofErr w:type="spellEnd"/>
      <w:r w:rsidRPr="009A4A26">
        <w:t>)</w:t>
      </w:r>
      <w:r w:rsidR="008350C5">
        <w:t>. In 201</w:t>
      </w:r>
      <w:r w:rsidR="00294A37">
        <w:t>7</w:t>
      </w:r>
      <w:r w:rsidR="008350C5">
        <w:t>-1</w:t>
      </w:r>
      <w:r w:rsidR="00294A37">
        <w:t>8</w:t>
      </w:r>
      <w:r w:rsidR="008350C5">
        <w:t xml:space="preserve"> a total of 5,</w:t>
      </w:r>
      <w:r w:rsidR="00294A37">
        <w:t>234</w:t>
      </w:r>
      <w:r w:rsidR="0006394D" w:rsidRPr="009A4A26">
        <w:t xml:space="preserve"> students </w:t>
      </w:r>
      <w:r w:rsidR="008350C5">
        <w:t>were due to graduate of which 88</w:t>
      </w:r>
      <w:r w:rsidR="0006394D" w:rsidRPr="009A4A26">
        <w:t xml:space="preserve">% </w:t>
      </w:r>
      <w:r w:rsidR="00C402C4">
        <w:t>were awarded</w:t>
      </w:r>
      <w:r w:rsidR="0006394D" w:rsidRPr="009A4A26">
        <w:t xml:space="preserve"> a I or </w:t>
      </w:r>
      <w:proofErr w:type="gramStart"/>
      <w:r w:rsidR="0006394D" w:rsidRPr="009A4A26">
        <w:t>II(</w:t>
      </w:r>
      <w:proofErr w:type="spellStart"/>
      <w:proofErr w:type="gramEnd"/>
      <w:r w:rsidR="0006394D" w:rsidRPr="009A4A26">
        <w:t>i</w:t>
      </w:r>
      <w:proofErr w:type="spellEnd"/>
      <w:r w:rsidR="0006394D" w:rsidRPr="009A4A26">
        <w:t>).</w:t>
      </w:r>
      <w:r w:rsidR="000158C2">
        <w:br/>
      </w:r>
      <w:r w:rsidR="000158C2">
        <w:br/>
      </w:r>
    </w:p>
    <w:p w:rsidR="00BC03A2" w:rsidRDefault="00BC03A2" w:rsidP="00BC03A2">
      <w:pPr>
        <w:spacing w:line="360" w:lineRule="auto"/>
      </w:pPr>
      <w:r>
        <w:t>Home, EU and overseas data have</w:t>
      </w:r>
      <w:r w:rsidRPr="00984E5E">
        <w:t xml:space="preserve"> been presented separately</w:t>
      </w:r>
      <w:r>
        <w:t>.</w:t>
      </w:r>
    </w:p>
    <w:p w:rsidR="00DC06EA" w:rsidRDefault="00DC06EA" w:rsidP="00BC03A2">
      <w:pPr>
        <w:spacing w:line="360" w:lineRule="auto"/>
      </w:pPr>
    </w:p>
    <w:p w:rsidR="00BC03A2" w:rsidRDefault="00BC03A2" w:rsidP="00BC03A2">
      <w:pPr>
        <w:spacing w:line="360" w:lineRule="auto"/>
      </w:pPr>
      <w:r>
        <w:t xml:space="preserve">Data from the previous years are available on the </w:t>
      </w:r>
      <w:hyperlink r:id="rId11" w:history="1">
        <w:r w:rsidRPr="005F74B0">
          <w:rPr>
            <w:rStyle w:val="Hyperlink"/>
          </w:rPr>
          <w:t>equality@leeds.ac.uk</w:t>
        </w:r>
      </w:hyperlink>
      <w:r>
        <w:t xml:space="preserve"> webpages but not included for</w:t>
      </w:r>
      <w:r w:rsidRPr="00984E5E">
        <w:t xml:space="preserve"> comparison</w:t>
      </w:r>
      <w:r w:rsidR="0074497D">
        <w:t xml:space="preserve"> as applicants are previously </w:t>
      </w:r>
      <w:r w:rsidR="00A86D67">
        <w:t>grouped as Home/EU and O</w:t>
      </w:r>
      <w:r>
        <w:t>verseas</w:t>
      </w:r>
      <w:r w:rsidRPr="00984E5E">
        <w:t xml:space="preserve">. </w:t>
      </w:r>
    </w:p>
    <w:p w:rsidR="00DC06EA" w:rsidRDefault="00DC06EA" w:rsidP="00DC06EA">
      <w:pPr>
        <w:spacing w:line="360" w:lineRule="auto"/>
        <w:rPr>
          <w:b/>
          <w:i/>
        </w:rPr>
      </w:pPr>
    </w:p>
    <w:p w:rsidR="000A1828" w:rsidRDefault="00027D0C" w:rsidP="00DC06EA">
      <w:pPr>
        <w:spacing w:line="360" w:lineRule="auto"/>
      </w:pPr>
      <w:r>
        <w:rPr>
          <w:b/>
          <w:i/>
        </w:rPr>
        <w:t>Data are</w:t>
      </w:r>
      <w:r w:rsidR="0059354B" w:rsidRPr="009A4A26">
        <w:rPr>
          <w:b/>
          <w:i/>
        </w:rPr>
        <w:t xml:space="preserve"> rounded to the nearest whole percent</w:t>
      </w:r>
      <w:r w:rsidR="0059354B" w:rsidRPr="009A4A26">
        <w:rPr>
          <w:b/>
          <w:color w:val="000000"/>
        </w:rPr>
        <w:t xml:space="preserve"> </w:t>
      </w:r>
      <w:r w:rsidR="0059354B" w:rsidRPr="009A4A26">
        <w:rPr>
          <w:b/>
          <w:i/>
          <w:color w:val="000000"/>
        </w:rPr>
        <w:t>and therefore may not always total 100%</w:t>
      </w:r>
      <w:r w:rsidR="0059354B" w:rsidRPr="009A4A26">
        <w:rPr>
          <w:b/>
          <w:i/>
        </w:rPr>
        <w:t>.</w:t>
      </w:r>
      <w:r w:rsidR="000A1828" w:rsidRPr="009A4A26">
        <w:t xml:space="preserve"> </w:t>
      </w:r>
    </w:p>
    <w:p w:rsidR="003918BB" w:rsidRDefault="003918BB" w:rsidP="00F76087">
      <w:pPr>
        <w:spacing w:line="360" w:lineRule="auto"/>
        <w:ind w:left="-142"/>
      </w:pPr>
    </w:p>
    <w:p w:rsidR="0043141C" w:rsidRDefault="0043141C">
      <w:pPr>
        <w:spacing w:before="0" w:after="200"/>
        <w:rPr>
          <w:rFonts w:eastAsiaTheme="majorEastAsia"/>
          <w:b/>
          <w:bCs/>
          <w:sz w:val="32"/>
          <w:szCs w:val="26"/>
        </w:rPr>
      </w:pPr>
      <w:r>
        <w:br w:type="page"/>
      </w:r>
    </w:p>
    <w:p w:rsidR="00DF6856" w:rsidRPr="003918BB" w:rsidRDefault="00DF6856" w:rsidP="00826BF8">
      <w:pPr>
        <w:pStyle w:val="Heading2"/>
      </w:pPr>
      <w:bookmarkStart w:id="3" w:name="_Toc62685195"/>
      <w:r w:rsidRPr="003918BB">
        <w:lastRenderedPageBreak/>
        <w:t>Age</w:t>
      </w:r>
      <w:bookmarkEnd w:id="3"/>
    </w:p>
    <w:p w:rsidR="00DF6856" w:rsidRDefault="00DF6856" w:rsidP="00826BF8">
      <w:pPr>
        <w:pStyle w:val="Heading3"/>
      </w:pPr>
      <w:bookmarkStart w:id="4" w:name="_Toc62685196"/>
      <w:r w:rsidRPr="009A4A26">
        <w:t>Home Students</w:t>
      </w:r>
      <w:bookmarkEnd w:id="4"/>
    </w:p>
    <w:p w:rsidR="00294428" w:rsidRPr="00294428" w:rsidRDefault="00294428" w:rsidP="00294428"/>
    <w:p w:rsidR="00C540FF" w:rsidRPr="00FA2E34" w:rsidRDefault="00020E50" w:rsidP="00CD03AF">
      <w:pPr>
        <w:jc w:val="center"/>
      </w:pPr>
      <w:r>
        <w:rPr>
          <w:noProof/>
          <w:lang w:eastAsia="en-GB"/>
        </w:rPr>
        <w:drawing>
          <wp:inline distT="0" distB="0" distL="0" distR="0" wp14:anchorId="680983E8">
            <wp:extent cx="4584700" cy="27559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856" w:rsidRPr="00F76087" w:rsidRDefault="00DF6856" w:rsidP="00CD03AF">
      <w:pPr>
        <w:jc w:val="center"/>
      </w:pPr>
    </w:p>
    <w:tbl>
      <w:tblPr>
        <w:tblW w:w="2037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1564"/>
        <w:gridCol w:w="1164"/>
        <w:gridCol w:w="1204"/>
        <w:gridCol w:w="1164"/>
      </w:tblGrid>
      <w:tr w:rsidR="009142DF" w:rsidRPr="00826BF8" w:rsidTr="00CD03AF">
        <w:trPr>
          <w:trHeight w:val="255"/>
          <w:jc w:val="center"/>
        </w:trPr>
        <w:tc>
          <w:tcPr>
            <w:tcW w:w="13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2DF" w:rsidRPr="00CD03AF" w:rsidRDefault="00DB77B3" w:rsidP="00CD03AF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 </w:t>
            </w:r>
            <w:r w:rsidR="009142DF" w:rsidRPr="00CD03AF">
              <w:rPr>
                <w:rFonts w:eastAsia="Times New Roman"/>
                <w:bCs/>
                <w:color w:val="000000"/>
                <w:lang w:eastAsia="en-GB"/>
              </w:rPr>
              <w:t>Age (Years)</w:t>
            </w:r>
          </w:p>
        </w:tc>
        <w:tc>
          <w:tcPr>
            <w:tcW w:w="363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42DF" w:rsidRPr="00CD03AF" w:rsidRDefault="009142DF" w:rsidP="00F76087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CD03AF">
              <w:rPr>
                <w:rFonts w:eastAsia="Times New Roman"/>
                <w:bCs/>
                <w:color w:val="000000"/>
                <w:lang w:eastAsia="en-GB"/>
              </w:rPr>
              <w:t>201</w:t>
            </w:r>
            <w:r w:rsidRPr="00DB77B3">
              <w:rPr>
                <w:rFonts w:eastAsia="Times New Roman"/>
                <w:bCs/>
                <w:color w:val="000000"/>
                <w:lang w:eastAsia="en-GB"/>
              </w:rPr>
              <w:t>9-20</w:t>
            </w:r>
          </w:p>
        </w:tc>
      </w:tr>
      <w:tr w:rsidR="00C402C4" w:rsidRPr="00826BF8" w:rsidTr="00CD03AF">
        <w:trPr>
          <w:trHeight w:val="255"/>
          <w:jc w:val="center"/>
        </w:trPr>
        <w:tc>
          <w:tcPr>
            <w:tcW w:w="1364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42DF" w:rsidRPr="00CD03AF" w:rsidRDefault="009142DF" w:rsidP="00F76087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2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F" w:rsidRPr="00CD03AF" w:rsidRDefault="009142DF" w:rsidP="00C402C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CD03AF">
              <w:rPr>
                <w:rFonts w:eastAsia="Times New Roman"/>
                <w:bCs/>
                <w:color w:val="000000"/>
                <w:lang w:eastAsia="en-GB"/>
              </w:rPr>
              <w:t xml:space="preserve">Number </w:t>
            </w:r>
            <w:r w:rsidR="00B40942">
              <w:rPr>
                <w:rFonts w:eastAsia="Times New Roman"/>
                <w:bCs/>
                <w:color w:val="000000"/>
                <w:lang w:eastAsia="en-GB"/>
              </w:rPr>
              <w:t xml:space="preserve">of </w:t>
            </w:r>
            <w:r w:rsidRPr="00CD03AF">
              <w:rPr>
                <w:rFonts w:eastAsia="Times New Roman"/>
                <w:bCs/>
                <w:color w:val="000000"/>
                <w:lang w:eastAsia="en-GB"/>
              </w:rPr>
              <w:t xml:space="preserve">Students </w:t>
            </w:r>
            <w:r w:rsidR="00C402C4"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Pr="00CD03AF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Pr="00CD03AF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Pr="00CD03AF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F" w:rsidRPr="00CD03AF" w:rsidRDefault="009142DF" w:rsidP="00F76087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CD03AF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42DF" w:rsidRPr="00CD03AF" w:rsidRDefault="009142DF" w:rsidP="00F76087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CD03AF">
              <w:rPr>
                <w:rFonts w:eastAsia="Times New Roman"/>
                <w:bCs/>
                <w:color w:val="000000"/>
                <w:lang w:eastAsia="en-GB"/>
              </w:rPr>
              <w:t xml:space="preserve">% Students </w:t>
            </w:r>
            <w:r w:rsidR="00C402C4"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Pr="00CD03AF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Pr="00CD03AF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Pr="00CD03AF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C402C4" w:rsidRPr="00826BF8" w:rsidTr="00CD03AF">
        <w:trPr>
          <w:trHeight w:val="255"/>
          <w:jc w:val="center"/>
        </w:trPr>
        <w:tc>
          <w:tcPr>
            <w:tcW w:w="13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0BC" w:rsidRPr="00CD03AF" w:rsidRDefault="00F400BC" w:rsidP="00F400BC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CD03AF">
              <w:rPr>
                <w:rFonts w:eastAsia="Times New Roman"/>
                <w:bCs/>
                <w:color w:val="000000"/>
                <w:lang w:eastAsia="en-GB"/>
              </w:rPr>
              <w:t>Under 21</w:t>
            </w:r>
          </w:p>
        </w:tc>
        <w:tc>
          <w:tcPr>
            <w:tcW w:w="12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0BC" w:rsidRPr="00DB77B3" w:rsidRDefault="00F400BC" w:rsidP="00F400BC">
            <w:pPr>
              <w:spacing w:line="360" w:lineRule="auto"/>
            </w:pPr>
            <w:r w:rsidRPr="00CD03AF">
              <w:t>4535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0BC" w:rsidRPr="00DB77B3" w:rsidRDefault="00F400BC" w:rsidP="00F400BC">
            <w:pPr>
              <w:spacing w:line="360" w:lineRule="auto"/>
            </w:pPr>
            <w:r w:rsidRPr="00CD03AF">
              <w:t>4929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00BC" w:rsidRPr="00DB77B3" w:rsidRDefault="00F400BC" w:rsidP="00F400BC">
            <w:pPr>
              <w:spacing w:line="360" w:lineRule="auto"/>
            </w:pPr>
            <w:r w:rsidRPr="00CD03AF">
              <w:t>92%</w:t>
            </w:r>
          </w:p>
        </w:tc>
      </w:tr>
      <w:tr w:rsidR="00C402C4" w:rsidRPr="00826BF8" w:rsidTr="00CD03AF">
        <w:trPr>
          <w:trHeight w:val="255"/>
          <w:jc w:val="center"/>
        </w:trPr>
        <w:tc>
          <w:tcPr>
            <w:tcW w:w="13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0BC" w:rsidRPr="00CD03AF" w:rsidRDefault="00F400BC" w:rsidP="00F400BC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CD03AF">
              <w:rPr>
                <w:rFonts w:eastAsia="Times New Roman"/>
                <w:bCs/>
                <w:color w:val="000000"/>
                <w:lang w:eastAsia="en-GB"/>
              </w:rPr>
              <w:t>21 or over</w:t>
            </w:r>
          </w:p>
        </w:tc>
        <w:tc>
          <w:tcPr>
            <w:tcW w:w="12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0BC" w:rsidRPr="00DB77B3" w:rsidRDefault="00F400BC" w:rsidP="00F400BC">
            <w:pPr>
              <w:spacing w:line="360" w:lineRule="auto"/>
            </w:pPr>
            <w:r w:rsidRPr="00CD03AF">
              <w:t>289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0BC" w:rsidRPr="00DB77B3" w:rsidRDefault="00F400BC" w:rsidP="00F400BC">
            <w:pPr>
              <w:spacing w:line="360" w:lineRule="auto"/>
            </w:pPr>
            <w:r w:rsidRPr="00CD03AF">
              <w:t>358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00BC" w:rsidRPr="00DB77B3" w:rsidRDefault="00F400BC" w:rsidP="00F400BC">
            <w:pPr>
              <w:spacing w:line="360" w:lineRule="auto"/>
            </w:pPr>
            <w:r w:rsidRPr="00CD03AF">
              <w:t>81%</w:t>
            </w:r>
          </w:p>
        </w:tc>
      </w:tr>
      <w:tr w:rsidR="00C402C4" w:rsidRPr="00826BF8" w:rsidTr="00CD03AF">
        <w:trPr>
          <w:trHeight w:val="255"/>
          <w:jc w:val="center"/>
        </w:trPr>
        <w:tc>
          <w:tcPr>
            <w:tcW w:w="13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0BC" w:rsidRPr="00CD03AF" w:rsidRDefault="00F400BC" w:rsidP="00F400BC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CD03AF">
              <w:rPr>
                <w:rFonts w:eastAsia="Times New Roman"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21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0BC" w:rsidRPr="00DB77B3" w:rsidRDefault="00F400BC" w:rsidP="00F400BC">
            <w:pPr>
              <w:spacing w:line="360" w:lineRule="auto"/>
            </w:pPr>
            <w:r w:rsidRPr="00CD03AF">
              <w:t>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0BC" w:rsidRPr="00DB77B3" w:rsidRDefault="00F400BC" w:rsidP="00F400BC">
            <w:pPr>
              <w:spacing w:line="360" w:lineRule="auto"/>
            </w:pPr>
            <w:r w:rsidRPr="00CD03AF">
              <w:t>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00BC" w:rsidRPr="00DB77B3" w:rsidRDefault="00F400BC" w:rsidP="00F400BC">
            <w:pPr>
              <w:spacing w:line="360" w:lineRule="auto"/>
            </w:pPr>
            <w:r w:rsidRPr="00CD03AF">
              <w:t> </w:t>
            </w:r>
          </w:p>
        </w:tc>
      </w:tr>
    </w:tbl>
    <w:p w:rsidR="00C540FF" w:rsidRDefault="00C540FF" w:rsidP="00F76087">
      <w:pPr>
        <w:spacing w:line="360" w:lineRule="auto"/>
        <w:rPr>
          <w:b/>
        </w:rPr>
      </w:pPr>
    </w:p>
    <w:p w:rsidR="00643444" w:rsidRPr="00F76087" w:rsidRDefault="002312C8" w:rsidP="00F76087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C540FF" w:rsidRDefault="002312C8" w:rsidP="00E54F9E">
      <w:pPr>
        <w:spacing w:line="360" w:lineRule="auto"/>
      </w:pPr>
      <w:r w:rsidRPr="00F76087">
        <w:t xml:space="preserve">The percentage of Home UG students </w:t>
      </w:r>
      <w:r w:rsidR="000A3240">
        <w:t xml:space="preserve">under 21 years </w:t>
      </w:r>
      <w:r w:rsidRPr="00F76087">
        <w:t xml:space="preserve">who </w:t>
      </w:r>
      <w:r w:rsidR="005021DF">
        <w:t>were awarded</w:t>
      </w:r>
      <w:r w:rsidRPr="00F76087">
        <w:t xml:space="preserve"> a I or </w:t>
      </w:r>
      <w:proofErr w:type="gramStart"/>
      <w:r w:rsidRPr="00F76087">
        <w:t>II(</w:t>
      </w:r>
      <w:proofErr w:type="spellStart"/>
      <w:proofErr w:type="gramEnd"/>
      <w:r w:rsidRPr="00F76087">
        <w:t>i</w:t>
      </w:r>
      <w:proofErr w:type="spellEnd"/>
      <w:r w:rsidRPr="00F76087">
        <w:t xml:space="preserve">) </w:t>
      </w:r>
      <w:r w:rsidR="000A3240">
        <w:t>is 92%</w:t>
      </w:r>
      <w:r w:rsidRPr="00F76087">
        <w:t>. The percentage of UG students who were 21 or over</w:t>
      </w:r>
      <w:r w:rsidR="003D64BA" w:rsidRPr="00F76087">
        <w:t xml:space="preserve"> and who </w:t>
      </w:r>
      <w:r w:rsidR="005021DF">
        <w:t>were awarded</w:t>
      </w:r>
      <w:r w:rsidR="003D64BA" w:rsidRPr="00F76087">
        <w:t xml:space="preserve"> a I or </w:t>
      </w:r>
      <w:proofErr w:type="gramStart"/>
      <w:r w:rsidR="003D64BA" w:rsidRPr="00F76087">
        <w:t>II(</w:t>
      </w:r>
      <w:proofErr w:type="spellStart"/>
      <w:proofErr w:type="gramEnd"/>
      <w:r w:rsidR="003D64BA" w:rsidRPr="00F76087">
        <w:t>i</w:t>
      </w:r>
      <w:proofErr w:type="spellEnd"/>
      <w:r w:rsidR="003D64BA" w:rsidRPr="00F76087">
        <w:t xml:space="preserve">) was </w:t>
      </w:r>
      <w:r w:rsidR="000A3240">
        <w:t>81</w:t>
      </w:r>
      <w:r w:rsidR="003D64BA" w:rsidRPr="00F76087">
        <w:t>%.</w:t>
      </w:r>
      <w:r w:rsidRPr="00F76087">
        <w:t xml:space="preserve"> </w:t>
      </w:r>
      <w:r w:rsidR="00185CBA">
        <w:t>The awarding</w:t>
      </w:r>
      <w:r w:rsidR="002D4064" w:rsidRPr="00F76087">
        <w:t xml:space="preserve"> gap is currently 1</w:t>
      </w:r>
      <w:r w:rsidR="000A3240">
        <w:t>1</w:t>
      </w:r>
      <w:r w:rsidR="002D4064" w:rsidRPr="00F76087">
        <w:t>%.</w:t>
      </w:r>
      <w:r w:rsidR="00C540FF">
        <w:br w:type="page"/>
      </w:r>
    </w:p>
    <w:p w:rsidR="00BC14B7" w:rsidRDefault="007D64CC" w:rsidP="001128AD">
      <w:pPr>
        <w:pStyle w:val="Heading3"/>
      </w:pPr>
      <w:bookmarkStart w:id="5" w:name="_Toc62685197"/>
      <w:r>
        <w:lastRenderedPageBreak/>
        <w:t>EU</w:t>
      </w:r>
      <w:r w:rsidR="00BC14B7" w:rsidRPr="009A4A26">
        <w:t xml:space="preserve"> Students</w:t>
      </w:r>
      <w:bookmarkEnd w:id="5"/>
    </w:p>
    <w:p w:rsidR="00903129" w:rsidRPr="00903129" w:rsidRDefault="00903129" w:rsidP="00903129"/>
    <w:p w:rsidR="00BC14B7" w:rsidRDefault="00C540FF" w:rsidP="00BC14B7">
      <w:pPr>
        <w:jc w:val="center"/>
      </w:pPr>
      <w:r>
        <w:rPr>
          <w:noProof/>
          <w:lang w:eastAsia="en-GB"/>
        </w:rPr>
        <w:drawing>
          <wp:inline distT="0" distB="0" distL="0" distR="0" wp14:anchorId="2DC5752C">
            <wp:extent cx="4584700" cy="2755900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0FF" w:rsidRDefault="00C540FF" w:rsidP="00BC14B7">
      <w:pPr>
        <w:jc w:val="center"/>
      </w:pPr>
    </w:p>
    <w:p w:rsidR="00C540FF" w:rsidRPr="00F76087" w:rsidRDefault="00C540FF" w:rsidP="00BC14B7">
      <w:pPr>
        <w:jc w:val="center"/>
      </w:pPr>
    </w:p>
    <w:tbl>
      <w:tblPr>
        <w:tblW w:w="2652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1564"/>
        <w:gridCol w:w="1164"/>
        <w:gridCol w:w="1204"/>
        <w:gridCol w:w="1164"/>
      </w:tblGrid>
      <w:tr w:rsidR="00BC14B7" w:rsidRPr="00553823" w:rsidTr="002262CD">
        <w:trPr>
          <w:trHeight w:val="255"/>
          <w:jc w:val="center"/>
        </w:trPr>
        <w:tc>
          <w:tcPr>
            <w:tcW w:w="15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14B7" w:rsidRPr="00553823" w:rsidRDefault="00BC14B7" w:rsidP="00FA2E34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lang w:eastAsia="en-GB"/>
              </w:rPr>
            </w:pPr>
            <w:r w:rsidRPr="00553823">
              <w:rPr>
                <w:rFonts w:eastAsia="Times New Roman"/>
                <w:bCs/>
                <w:color w:val="000000"/>
                <w:lang w:eastAsia="en-GB"/>
              </w:rPr>
              <w:t xml:space="preserve"> Age (Years)</w:t>
            </w:r>
          </w:p>
        </w:tc>
        <w:tc>
          <w:tcPr>
            <w:tcW w:w="34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14B7" w:rsidRPr="00553823" w:rsidRDefault="00BC14B7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553823">
              <w:rPr>
                <w:rFonts w:eastAsia="Times New Roman"/>
                <w:bCs/>
                <w:color w:val="000000"/>
                <w:lang w:eastAsia="en-GB"/>
              </w:rPr>
              <w:t>2019-20</w:t>
            </w:r>
          </w:p>
        </w:tc>
      </w:tr>
      <w:tr w:rsidR="00BC14B7" w:rsidRPr="00553823" w:rsidTr="002262CD">
        <w:trPr>
          <w:trHeight w:val="255"/>
          <w:jc w:val="center"/>
        </w:trPr>
        <w:tc>
          <w:tcPr>
            <w:tcW w:w="153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4B7" w:rsidRPr="00553823" w:rsidRDefault="00BC14B7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B7" w:rsidRPr="00553823" w:rsidRDefault="00185CBA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Number </w:t>
            </w:r>
            <w:r w:rsidR="0030120E">
              <w:rPr>
                <w:rFonts w:eastAsia="Times New Roman"/>
                <w:bCs/>
                <w:color w:val="000000"/>
                <w:lang w:eastAsia="en-GB"/>
              </w:rPr>
              <w:t xml:space="preserve">of 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BC14B7" w:rsidRPr="00553823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BC14B7" w:rsidRPr="00553823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BC14B7" w:rsidRPr="00553823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B7" w:rsidRPr="00553823" w:rsidRDefault="00BC14B7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553823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4B7" w:rsidRPr="00553823" w:rsidRDefault="00185CBA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%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BC14B7" w:rsidRPr="00553823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BC14B7" w:rsidRPr="00553823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BC14B7" w:rsidRPr="00553823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2262CD" w:rsidRPr="00553823" w:rsidTr="002262CD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2CD" w:rsidRPr="00553823" w:rsidRDefault="002262CD" w:rsidP="002262CD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553823">
              <w:rPr>
                <w:rFonts w:eastAsia="Times New Roman"/>
                <w:bCs/>
                <w:color w:val="000000"/>
                <w:lang w:eastAsia="en-GB"/>
              </w:rPr>
              <w:t>Under 21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CD" w:rsidRPr="00553823" w:rsidRDefault="002262CD" w:rsidP="002262CD">
            <w:pPr>
              <w:spacing w:line="360" w:lineRule="auto"/>
            </w:pPr>
            <w:r w:rsidRPr="00CD03AF">
              <w:t>202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CD" w:rsidRPr="00553823" w:rsidRDefault="002262CD" w:rsidP="002262CD">
            <w:pPr>
              <w:spacing w:line="360" w:lineRule="auto"/>
            </w:pPr>
            <w:r w:rsidRPr="00CD03AF">
              <w:t>227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62CD" w:rsidRPr="00553823" w:rsidRDefault="002262CD" w:rsidP="002262CD">
            <w:pPr>
              <w:spacing w:line="360" w:lineRule="auto"/>
            </w:pPr>
            <w:r w:rsidRPr="00CD03AF">
              <w:t>89%</w:t>
            </w:r>
          </w:p>
        </w:tc>
      </w:tr>
      <w:tr w:rsidR="002262CD" w:rsidRPr="00553823" w:rsidTr="002262CD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2CD" w:rsidRPr="00553823" w:rsidRDefault="002262CD" w:rsidP="002262CD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553823">
              <w:rPr>
                <w:rFonts w:eastAsia="Times New Roman"/>
                <w:bCs/>
                <w:color w:val="000000"/>
                <w:lang w:eastAsia="en-GB"/>
              </w:rPr>
              <w:t>21 or over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CD" w:rsidRPr="00553823" w:rsidRDefault="002262CD" w:rsidP="002262CD">
            <w:pPr>
              <w:spacing w:line="360" w:lineRule="auto"/>
            </w:pPr>
            <w:r w:rsidRPr="00CD03AF">
              <w:t>12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CD" w:rsidRPr="00553823" w:rsidRDefault="002262CD" w:rsidP="002262CD">
            <w:pPr>
              <w:spacing w:line="360" w:lineRule="auto"/>
            </w:pPr>
            <w:r w:rsidRPr="00CD03AF"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62CD" w:rsidRPr="00553823" w:rsidRDefault="002262CD" w:rsidP="002262CD">
            <w:pPr>
              <w:spacing w:line="360" w:lineRule="auto"/>
            </w:pPr>
            <w:r w:rsidRPr="00CD03AF">
              <w:t>80%</w:t>
            </w:r>
          </w:p>
        </w:tc>
      </w:tr>
      <w:tr w:rsidR="002262CD" w:rsidRPr="00553823" w:rsidTr="002262CD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2CD" w:rsidRPr="00553823" w:rsidRDefault="002262CD" w:rsidP="002262CD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553823">
              <w:rPr>
                <w:rFonts w:eastAsia="Times New Roman"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CD" w:rsidRPr="00553823" w:rsidRDefault="002262CD" w:rsidP="002262CD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CD" w:rsidRPr="00553823" w:rsidRDefault="002262CD" w:rsidP="002262CD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62CD" w:rsidRPr="00553823" w:rsidRDefault="002262CD" w:rsidP="002262CD">
            <w:pPr>
              <w:spacing w:line="360" w:lineRule="auto"/>
            </w:pPr>
            <w:r w:rsidRPr="00CD03AF">
              <w:t> </w:t>
            </w:r>
          </w:p>
        </w:tc>
      </w:tr>
    </w:tbl>
    <w:p w:rsidR="001C212C" w:rsidRDefault="001C212C" w:rsidP="00BC14B7">
      <w:pPr>
        <w:spacing w:line="360" w:lineRule="auto"/>
        <w:rPr>
          <w:b/>
        </w:rPr>
      </w:pPr>
    </w:p>
    <w:p w:rsidR="00BC14B7" w:rsidRPr="00F76087" w:rsidRDefault="00BC14B7" w:rsidP="00BC14B7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BC14B7" w:rsidRPr="00F76087" w:rsidRDefault="009932A5" w:rsidP="00BC14B7">
      <w:pPr>
        <w:spacing w:line="360" w:lineRule="auto"/>
      </w:pPr>
      <w:r>
        <w:t xml:space="preserve">The percentage of </w:t>
      </w:r>
      <w:r w:rsidR="00BC14B7" w:rsidRPr="00F76087">
        <w:t>EU UG students who were under the age of 21 and a</w:t>
      </w:r>
      <w:r w:rsidR="007D47FD">
        <w:t>warded</w:t>
      </w:r>
      <w:r w:rsidR="00BC14B7" w:rsidRPr="00F76087">
        <w:t xml:space="preserve"> a I or </w:t>
      </w:r>
      <w:proofErr w:type="gramStart"/>
      <w:r w:rsidR="00BC14B7" w:rsidRPr="00F76087">
        <w:t>II(</w:t>
      </w:r>
      <w:proofErr w:type="spellStart"/>
      <w:proofErr w:type="gramEnd"/>
      <w:r w:rsidR="00BC14B7" w:rsidRPr="00F76087">
        <w:t>i</w:t>
      </w:r>
      <w:proofErr w:type="spellEnd"/>
      <w:r w:rsidR="00BC14B7" w:rsidRPr="00F76087">
        <w:t xml:space="preserve">) </w:t>
      </w:r>
      <w:r>
        <w:t>was 89%</w:t>
      </w:r>
      <w:r w:rsidR="00BC14B7" w:rsidRPr="00F76087">
        <w:t xml:space="preserve">. The percentage of UG students who were 21 or over and </w:t>
      </w:r>
      <w:r w:rsidR="007D47FD">
        <w:t>awarded</w:t>
      </w:r>
      <w:r w:rsidR="00BC14B7" w:rsidRPr="00F76087">
        <w:t xml:space="preserve"> a I or </w:t>
      </w:r>
      <w:proofErr w:type="gramStart"/>
      <w:r w:rsidR="00BC14B7" w:rsidRPr="00F76087">
        <w:t>II(</w:t>
      </w:r>
      <w:proofErr w:type="spellStart"/>
      <w:proofErr w:type="gramEnd"/>
      <w:r w:rsidR="00BC14B7" w:rsidRPr="00F76087">
        <w:t>i</w:t>
      </w:r>
      <w:proofErr w:type="spellEnd"/>
      <w:r w:rsidR="00BC14B7" w:rsidRPr="00F76087">
        <w:t xml:space="preserve">) was </w:t>
      </w:r>
      <w:r>
        <w:t>80</w:t>
      </w:r>
      <w:r w:rsidR="00295D6D">
        <w:t>%. The awarding</w:t>
      </w:r>
      <w:r w:rsidR="00BC14B7" w:rsidRPr="00F76087">
        <w:t xml:space="preserve"> g</w:t>
      </w:r>
      <w:r>
        <w:t>ap is currently 9</w:t>
      </w:r>
      <w:r w:rsidR="00BC14B7" w:rsidRPr="00F76087">
        <w:t>%.</w:t>
      </w:r>
    </w:p>
    <w:p w:rsidR="00BC14B7" w:rsidRDefault="007D64CC" w:rsidP="00826BF8">
      <w:pPr>
        <w:pStyle w:val="Heading3"/>
      </w:pPr>
      <w:bookmarkStart w:id="6" w:name="_Toc62685198"/>
      <w:r>
        <w:lastRenderedPageBreak/>
        <w:t>Overseas</w:t>
      </w:r>
      <w:r w:rsidR="00BC14B7" w:rsidRPr="009A4A26">
        <w:t xml:space="preserve"> Students</w:t>
      </w:r>
      <w:bookmarkEnd w:id="6"/>
    </w:p>
    <w:p w:rsidR="00341684" w:rsidRPr="00341684" w:rsidRDefault="00341684" w:rsidP="00341684"/>
    <w:p w:rsidR="00BC14B7" w:rsidRDefault="00221CA9" w:rsidP="00BC14B7">
      <w:pPr>
        <w:jc w:val="center"/>
      </w:pPr>
      <w:r>
        <w:rPr>
          <w:noProof/>
          <w:lang w:eastAsia="en-GB"/>
        </w:rPr>
        <w:drawing>
          <wp:inline distT="0" distB="0" distL="0" distR="0" wp14:anchorId="56F866B2">
            <wp:extent cx="4584700" cy="275590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CA9" w:rsidRPr="00F76087" w:rsidRDefault="00221CA9" w:rsidP="00BC14B7">
      <w:pPr>
        <w:jc w:val="center"/>
      </w:pPr>
    </w:p>
    <w:tbl>
      <w:tblPr>
        <w:tblW w:w="2652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1564"/>
        <w:gridCol w:w="1164"/>
        <w:gridCol w:w="1204"/>
        <w:gridCol w:w="1164"/>
      </w:tblGrid>
      <w:tr w:rsidR="00BC14B7" w:rsidRPr="00221CA9" w:rsidTr="00534F2F">
        <w:trPr>
          <w:trHeight w:val="255"/>
          <w:jc w:val="center"/>
        </w:trPr>
        <w:tc>
          <w:tcPr>
            <w:tcW w:w="15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14B7" w:rsidRPr="00221CA9" w:rsidRDefault="00BC14B7" w:rsidP="00FA2E34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lang w:eastAsia="en-GB"/>
              </w:rPr>
            </w:pPr>
            <w:r w:rsidRPr="00221CA9">
              <w:rPr>
                <w:rFonts w:eastAsia="Times New Roman"/>
                <w:bCs/>
                <w:color w:val="000000"/>
                <w:lang w:eastAsia="en-GB"/>
              </w:rPr>
              <w:t xml:space="preserve"> Age (Years)</w:t>
            </w:r>
          </w:p>
        </w:tc>
        <w:tc>
          <w:tcPr>
            <w:tcW w:w="34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14B7" w:rsidRPr="00221CA9" w:rsidRDefault="00BC14B7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21CA9">
              <w:rPr>
                <w:rFonts w:eastAsia="Times New Roman"/>
                <w:bCs/>
                <w:color w:val="000000"/>
                <w:lang w:eastAsia="en-GB"/>
              </w:rPr>
              <w:t>2019-20</w:t>
            </w:r>
          </w:p>
        </w:tc>
      </w:tr>
      <w:tr w:rsidR="00BC14B7" w:rsidRPr="00221CA9" w:rsidTr="00534F2F">
        <w:trPr>
          <w:trHeight w:val="255"/>
          <w:jc w:val="center"/>
        </w:trPr>
        <w:tc>
          <w:tcPr>
            <w:tcW w:w="153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4B7" w:rsidRPr="00221CA9" w:rsidRDefault="00BC14B7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B7" w:rsidRPr="00221CA9" w:rsidRDefault="00BC14B7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21CA9">
              <w:rPr>
                <w:rFonts w:eastAsia="Times New Roman"/>
                <w:bCs/>
                <w:color w:val="000000"/>
                <w:lang w:eastAsia="en-GB"/>
              </w:rPr>
              <w:t xml:space="preserve">Number </w:t>
            </w:r>
            <w:r w:rsidR="0077759F">
              <w:rPr>
                <w:rFonts w:eastAsia="Times New Roman"/>
                <w:bCs/>
                <w:color w:val="000000"/>
                <w:lang w:eastAsia="en-GB"/>
              </w:rPr>
              <w:t xml:space="preserve">of </w:t>
            </w:r>
            <w:r w:rsidR="00804A3D">
              <w:rPr>
                <w:rFonts w:eastAsia="Times New Roman"/>
                <w:bCs/>
                <w:color w:val="000000"/>
                <w:lang w:eastAsia="en-GB"/>
              </w:rPr>
              <w:t xml:space="preserve">Students </w:t>
            </w:r>
            <w:r w:rsidR="00804A3D"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Pr="00221CA9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Pr="00221CA9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Pr="00221CA9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B7" w:rsidRPr="00221CA9" w:rsidRDefault="00BC14B7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21CA9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4B7" w:rsidRPr="00221CA9" w:rsidRDefault="00804A3D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%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BC14B7" w:rsidRPr="00221CA9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BC14B7" w:rsidRPr="00221CA9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BC14B7" w:rsidRPr="00221CA9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534F2F" w:rsidRPr="00221CA9" w:rsidTr="00534F2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4F2F" w:rsidRPr="00221CA9" w:rsidRDefault="00534F2F" w:rsidP="00534F2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21CA9">
              <w:rPr>
                <w:rFonts w:eastAsia="Times New Roman"/>
                <w:bCs/>
                <w:color w:val="000000"/>
                <w:lang w:eastAsia="en-GB"/>
              </w:rPr>
              <w:t>Under 21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2F" w:rsidRPr="00221CA9" w:rsidRDefault="00534F2F" w:rsidP="00534F2F">
            <w:pPr>
              <w:spacing w:line="360" w:lineRule="auto"/>
            </w:pPr>
            <w:r w:rsidRPr="00CD03AF">
              <w:t>472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2F" w:rsidRPr="00221CA9" w:rsidRDefault="00534F2F" w:rsidP="00534F2F">
            <w:pPr>
              <w:spacing w:line="360" w:lineRule="auto"/>
            </w:pPr>
            <w:r w:rsidRPr="00CD03AF">
              <w:t>605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4F2F" w:rsidRPr="00221CA9" w:rsidRDefault="00534F2F" w:rsidP="00534F2F">
            <w:pPr>
              <w:spacing w:line="360" w:lineRule="auto"/>
            </w:pPr>
            <w:r w:rsidRPr="00CD03AF">
              <w:t>78%</w:t>
            </w:r>
          </w:p>
        </w:tc>
      </w:tr>
      <w:tr w:rsidR="00534F2F" w:rsidRPr="00221CA9" w:rsidTr="00534F2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4F2F" w:rsidRPr="00221CA9" w:rsidRDefault="00534F2F" w:rsidP="00534F2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21CA9">
              <w:rPr>
                <w:rFonts w:eastAsia="Times New Roman"/>
                <w:bCs/>
                <w:color w:val="000000"/>
                <w:lang w:eastAsia="en-GB"/>
              </w:rPr>
              <w:t>21 or over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2F" w:rsidRPr="00221CA9" w:rsidRDefault="00534F2F" w:rsidP="00534F2F">
            <w:pPr>
              <w:spacing w:line="360" w:lineRule="auto"/>
            </w:pPr>
            <w:r w:rsidRPr="00CD03AF">
              <w:t>97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2F" w:rsidRPr="00221CA9" w:rsidRDefault="00534F2F" w:rsidP="00534F2F">
            <w:pPr>
              <w:spacing w:line="360" w:lineRule="auto"/>
            </w:pPr>
            <w:r w:rsidRPr="00CD03AF">
              <w:t>140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4F2F" w:rsidRPr="00221CA9" w:rsidRDefault="00534F2F" w:rsidP="00534F2F">
            <w:pPr>
              <w:spacing w:line="360" w:lineRule="auto"/>
            </w:pPr>
            <w:r w:rsidRPr="00CD03AF">
              <w:t>69%</w:t>
            </w:r>
          </w:p>
        </w:tc>
      </w:tr>
      <w:tr w:rsidR="00534F2F" w:rsidRPr="00221CA9" w:rsidTr="00534F2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4F2F" w:rsidRPr="00221CA9" w:rsidRDefault="00534F2F" w:rsidP="00534F2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21CA9">
              <w:rPr>
                <w:rFonts w:eastAsia="Times New Roman"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2F" w:rsidRPr="00221CA9" w:rsidRDefault="00534F2F" w:rsidP="00534F2F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2F" w:rsidRPr="00221CA9" w:rsidRDefault="00534F2F" w:rsidP="00534F2F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4F2F" w:rsidRPr="00221CA9" w:rsidRDefault="00534F2F" w:rsidP="00534F2F">
            <w:pPr>
              <w:spacing w:line="360" w:lineRule="auto"/>
            </w:pPr>
            <w:r w:rsidRPr="00CD03AF">
              <w:t> </w:t>
            </w:r>
          </w:p>
        </w:tc>
      </w:tr>
    </w:tbl>
    <w:p w:rsidR="004B4E0B" w:rsidRDefault="004B4E0B" w:rsidP="00BC14B7">
      <w:pPr>
        <w:spacing w:line="360" w:lineRule="auto"/>
        <w:rPr>
          <w:b/>
        </w:rPr>
      </w:pPr>
    </w:p>
    <w:p w:rsidR="00BC14B7" w:rsidRPr="00F76087" w:rsidRDefault="00BC14B7" w:rsidP="00BC14B7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BC14B7" w:rsidRPr="00F76087" w:rsidRDefault="00BC14B7" w:rsidP="00BC14B7">
      <w:pPr>
        <w:spacing w:line="360" w:lineRule="auto"/>
      </w:pPr>
      <w:r w:rsidRPr="00F76087">
        <w:t xml:space="preserve">The percentage of Home/EU UG students who were under the age of 21 and </w:t>
      </w:r>
      <w:r w:rsidR="004B4E0B">
        <w:t>awarded</w:t>
      </w:r>
      <w:r w:rsidRPr="00F76087">
        <w:t xml:space="preserve"> a I or </w:t>
      </w:r>
      <w:proofErr w:type="gramStart"/>
      <w:r w:rsidRPr="00F76087">
        <w:t>II(</w:t>
      </w:r>
      <w:proofErr w:type="spellStart"/>
      <w:proofErr w:type="gramEnd"/>
      <w:r w:rsidRPr="00F76087">
        <w:t>i</w:t>
      </w:r>
      <w:proofErr w:type="spellEnd"/>
      <w:r w:rsidRPr="00F76087">
        <w:t xml:space="preserve">) </w:t>
      </w:r>
      <w:r w:rsidR="009A1329">
        <w:t>was 78%</w:t>
      </w:r>
      <w:r w:rsidRPr="00F76087">
        <w:t xml:space="preserve">. The percentage of UG students who were 21 or over and </w:t>
      </w:r>
      <w:r w:rsidR="004B4E0B">
        <w:t>awarded</w:t>
      </w:r>
      <w:r w:rsidR="009A1329">
        <w:t xml:space="preserve"> a I or </w:t>
      </w:r>
      <w:proofErr w:type="gramStart"/>
      <w:r w:rsidR="009A1329">
        <w:t>II(</w:t>
      </w:r>
      <w:proofErr w:type="spellStart"/>
      <w:proofErr w:type="gramEnd"/>
      <w:r w:rsidR="009A1329">
        <w:t>i</w:t>
      </w:r>
      <w:proofErr w:type="spellEnd"/>
      <w:r w:rsidR="009A1329">
        <w:t>) was 69</w:t>
      </w:r>
      <w:r w:rsidR="00804A3D">
        <w:t>%. The awarding</w:t>
      </w:r>
      <w:r w:rsidRPr="00F76087">
        <w:t xml:space="preserve"> gap is cur</w:t>
      </w:r>
      <w:r w:rsidR="009A1329">
        <w:t>rently 9</w:t>
      </w:r>
      <w:r w:rsidRPr="00F76087">
        <w:t>%.</w:t>
      </w:r>
    </w:p>
    <w:p w:rsidR="00961D21" w:rsidRPr="009A4A26" w:rsidRDefault="00961D21" w:rsidP="00826BF8">
      <w:pPr>
        <w:pStyle w:val="Heading2"/>
      </w:pPr>
      <w:bookmarkStart w:id="7" w:name="_Toc62685199"/>
      <w:r w:rsidRPr="009A4A26">
        <w:lastRenderedPageBreak/>
        <w:t>Disability</w:t>
      </w:r>
      <w:r w:rsidR="005C0E6C" w:rsidRPr="009A4A26">
        <w:rPr>
          <w:rStyle w:val="FootnoteReference"/>
          <w:sz w:val="22"/>
          <w:szCs w:val="22"/>
        </w:rPr>
        <w:footnoteReference w:id="1"/>
      </w:r>
      <w:bookmarkEnd w:id="7"/>
    </w:p>
    <w:p w:rsidR="00C92519" w:rsidRDefault="00C92519" w:rsidP="00826BF8">
      <w:pPr>
        <w:pStyle w:val="Heading3"/>
      </w:pPr>
      <w:bookmarkStart w:id="8" w:name="_Toc62685200"/>
      <w:r w:rsidRPr="009A4A26">
        <w:t>Home Students</w:t>
      </w:r>
      <w:bookmarkEnd w:id="8"/>
    </w:p>
    <w:p w:rsidR="00C92519" w:rsidRDefault="006F6ECF" w:rsidP="00C92519">
      <w:pPr>
        <w:jc w:val="center"/>
      </w:pPr>
      <w:r>
        <w:rPr>
          <w:noProof/>
          <w:lang w:eastAsia="en-GB"/>
        </w:rPr>
        <w:drawing>
          <wp:inline distT="0" distB="0" distL="0" distR="0" wp14:anchorId="1177B777">
            <wp:extent cx="4584700" cy="2755900"/>
            <wp:effectExtent l="0" t="0" r="635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ECF" w:rsidRPr="00F76087" w:rsidRDefault="006F6ECF" w:rsidP="00C92519">
      <w:pPr>
        <w:jc w:val="center"/>
      </w:pPr>
    </w:p>
    <w:tbl>
      <w:tblPr>
        <w:tblW w:w="3020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2271"/>
        <w:gridCol w:w="1164"/>
        <w:gridCol w:w="1204"/>
        <w:gridCol w:w="1164"/>
      </w:tblGrid>
      <w:tr w:rsidR="00FA2E34" w:rsidRPr="006F6ECF" w:rsidTr="0074169F">
        <w:trPr>
          <w:trHeight w:val="255"/>
          <w:jc w:val="center"/>
        </w:trPr>
        <w:tc>
          <w:tcPr>
            <w:tcW w:w="19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2519" w:rsidRPr="006F6ECF" w:rsidRDefault="00C92519" w:rsidP="00FA2E34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lang w:eastAsia="en-GB"/>
              </w:rPr>
            </w:pPr>
            <w:r w:rsidRPr="006F6ECF">
              <w:rPr>
                <w:rFonts w:eastAsia="Times New Roman"/>
                <w:bCs/>
                <w:color w:val="000000"/>
                <w:lang w:eastAsia="en-GB"/>
              </w:rPr>
              <w:t xml:space="preserve"> </w:t>
            </w:r>
            <w:r w:rsidR="00FA2E34" w:rsidRPr="006F6ECF">
              <w:rPr>
                <w:rFonts w:eastAsia="Times New Roman"/>
                <w:bCs/>
                <w:color w:val="000000"/>
                <w:lang w:eastAsia="en-GB"/>
              </w:rPr>
              <w:t>Disability</w:t>
            </w:r>
          </w:p>
        </w:tc>
        <w:tc>
          <w:tcPr>
            <w:tcW w:w="304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2519" w:rsidRPr="006F6ECF" w:rsidRDefault="00C92519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6F6ECF">
              <w:rPr>
                <w:rFonts w:eastAsia="Times New Roman"/>
                <w:bCs/>
                <w:color w:val="000000"/>
                <w:lang w:eastAsia="en-GB"/>
              </w:rPr>
              <w:t>2019-20</w:t>
            </w:r>
          </w:p>
        </w:tc>
      </w:tr>
      <w:tr w:rsidR="00C92519" w:rsidRPr="006F6ECF" w:rsidTr="0074169F">
        <w:trPr>
          <w:trHeight w:val="255"/>
          <w:jc w:val="center"/>
        </w:trPr>
        <w:tc>
          <w:tcPr>
            <w:tcW w:w="1957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2519" w:rsidRPr="006F6ECF" w:rsidRDefault="00C92519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0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19" w:rsidRPr="006F6ECF" w:rsidRDefault="00804A3D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Number</w:t>
            </w:r>
            <w:r w:rsidR="0022077F">
              <w:rPr>
                <w:rFonts w:eastAsia="Times New Roman"/>
                <w:bCs/>
                <w:color w:val="000000"/>
                <w:lang w:eastAsia="en-GB"/>
              </w:rPr>
              <w:t xml:space="preserve"> of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C92519" w:rsidRPr="006F6ECF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C92519" w:rsidRPr="006F6ECF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C92519" w:rsidRPr="006F6ECF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19" w:rsidRPr="006F6ECF" w:rsidRDefault="00C92519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6F6ECF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2519" w:rsidRPr="006F6ECF" w:rsidRDefault="00804A3D" w:rsidP="00FA2E34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%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C92519" w:rsidRPr="006F6ECF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C92519" w:rsidRPr="006F6ECF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C92519" w:rsidRPr="006F6ECF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74169F" w:rsidRPr="006F6ECF" w:rsidTr="0074169F">
        <w:trPr>
          <w:trHeight w:val="255"/>
          <w:jc w:val="center"/>
        </w:trPr>
        <w:tc>
          <w:tcPr>
            <w:tcW w:w="19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69F" w:rsidRPr="006F6ECF" w:rsidRDefault="0074169F" w:rsidP="0074169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6F6ECF">
              <w:rPr>
                <w:rFonts w:eastAsia="Times New Roman"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10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9F" w:rsidRPr="006F6ECF" w:rsidRDefault="0074169F" w:rsidP="0074169F">
            <w:pPr>
              <w:spacing w:line="360" w:lineRule="auto"/>
            </w:pPr>
            <w:r w:rsidRPr="00CD03AF">
              <w:t>740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9F" w:rsidRPr="006F6ECF" w:rsidRDefault="0074169F" w:rsidP="0074169F">
            <w:pPr>
              <w:spacing w:line="360" w:lineRule="auto"/>
            </w:pPr>
            <w:r w:rsidRPr="00CD03AF">
              <w:t>835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69F" w:rsidRPr="006F6ECF" w:rsidRDefault="0074169F" w:rsidP="0074169F">
            <w:pPr>
              <w:spacing w:line="360" w:lineRule="auto"/>
            </w:pPr>
            <w:r w:rsidRPr="00CD03AF">
              <w:t>89%</w:t>
            </w:r>
          </w:p>
        </w:tc>
      </w:tr>
      <w:tr w:rsidR="0074169F" w:rsidRPr="006F6ECF" w:rsidTr="0074169F">
        <w:trPr>
          <w:trHeight w:val="255"/>
          <w:jc w:val="center"/>
        </w:trPr>
        <w:tc>
          <w:tcPr>
            <w:tcW w:w="19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69F" w:rsidRPr="006F6ECF" w:rsidRDefault="0074169F" w:rsidP="0074169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6F6ECF">
              <w:rPr>
                <w:rFonts w:eastAsia="Times New Roman"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10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9F" w:rsidRPr="006F6ECF" w:rsidRDefault="0074169F" w:rsidP="0074169F">
            <w:pPr>
              <w:spacing w:line="360" w:lineRule="auto"/>
            </w:pPr>
            <w:r w:rsidRPr="00CD03AF">
              <w:t>4084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9F" w:rsidRPr="006F6ECF" w:rsidRDefault="0074169F" w:rsidP="0074169F">
            <w:pPr>
              <w:spacing w:line="360" w:lineRule="auto"/>
            </w:pPr>
            <w:r w:rsidRPr="00CD03AF">
              <w:t>4452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69F" w:rsidRPr="006F6ECF" w:rsidRDefault="0074169F" w:rsidP="0074169F">
            <w:pPr>
              <w:spacing w:line="360" w:lineRule="auto"/>
            </w:pPr>
            <w:r w:rsidRPr="00CD03AF">
              <w:t>92%</w:t>
            </w:r>
          </w:p>
        </w:tc>
      </w:tr>
      <w:tr w:rsidR="0074169F" w:rsidRPr="006F6ECF" w:rsidTr="0074169F">
        <w:trPr>
          <w:trHeight w:val="255"/>
          <w:jc w:val="center"/>
        </w:trPr>
        <w:tc>
          <w:tcPr>
            <w:tcW w:w="195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69F" w:rsidRPr="006F6ECF" w:rsidRDefault="0074169F" w:rsidP="0074169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6F6ECF">
              <w:rPr>
                <w:rFonts w:eastAsia="Times New Roman"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00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9F" w:rsidRPr="006F6ECF" w:rsidRDefault="0074169F" w:rsidP="0074169F">
            <w:pPr>
              <w:spacing w:line="360" w:lineRule="auto"/>
            </w:pPr>
            <w:r w:rsidRPr="00CD03AF"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9F" w:rsidRPr="006F6ECF" w:rsidRDefault="0074169F" w:rsidP="0074169F">
            <w:pPr>
              <w:spacing w:line="360" w:lineRule="auto"/>
            </w:pPr>
            <w:r w:rsidRPr="00CD03AF">
              <w:t>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69F" w:rsidRPr="006F6ECF" w:rsidRDefault="0074169F" w:rsidP="0074169F">
            <w:pPr>
              <w:spacing w:line="360" w:lineRule="auto"/>
            </w:pPr>
            <w:r w:rsidRPr="00CD03AF">
              <w:t> </w:t>
            </w:r>
          </w:p>
        </w:tc>
      </w:tr>
    </w:tbl>
    <w:p w:rsidR="00C92519" w:rsidRPr="00F76087" w:rsidRDefault="00C92519" w:rsidP="00C92519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C92519" w:rsidRPr="00F76087" w:rsidRDefault="00C92519" w:rsidP="00C92519">
      <w:pPr>
        <w:spacing w:line="360" w:lineRule="auto"/>
      </w:pPr>
      <w:r w:rsidRPr="00F76087">
        <w:t>The percentage of</w:t>
      </w:r>
      <w:r w:rsidR="00C70FC8">
        <w:t xml:space="preserve"> disabled</w:t>
      </w:r>
      <w:r w:rsidRPr="00F76087">
        <w:t xml:space="preserve"> Home UG students </w:t>
      </w:r>
      <w:r w:rsidR="00C70FC8">
        <w:t xml:space="preserve">who </w:t>
      </w:r>
      <w:r w:rsidR="00B66877">
        <w:t>were awarded</w:t>
      </w:r>
      <w:r w:rsidR="00C70FC8">
        <w:t xml:space="preserve"> a I or </w:t>
      </w:r>
      <w:proofErr w:type="gramStart"/>
      <w:r w:rsidR="00C70FC8">
        <w:t>II(</w:t>
      </w:r>
      <w:proofErr w:type="spellStart"/>
      <w:proofErr w:type="gramEnd"/>
      <w:r w:rsidR="00C70FC8">
        <w:t>i</w:t>
      </w:r>
      <w:proofErr w:type="spellEnd"/>
      <w:r w:rsidR="00C70FC8">
        <w:t>) was 89%</w:t>
      </w:r>
      <w:r w:rsidRPr="00F76087">
        <w:t xml:space="preserve">. The percentage of UG students </w:t>
      </w:r>
      <w:r w:rsidR="00C70FC8">
        <w:t xml:space="preserve">with no known disability who </w:t>
      </w:r>
      <w:r w:rsidR="00B66877">
        <w:t xml:space="preserve">were awarded </w:t>
      </w:r>
      <w:r w:rsidR="00C70FC8">
        <w:t xml:space="preserve">a I or </w:t>
      </w:r>
      <w:proofErr w:type="gramStart"/>
      <w:r w:rsidR="00C70FC8">
        <w:t>II(</w:t>
      </w:r>
      <w:proofErr w:type="spellStart"/>
      <w:proofErr w:type="gramEnd"/>
      <w:r w:rsidR="00C70FC8">
        <w:t>i</w:t>
      </w:r>
      <w:proofErr w:type="spellEnd"/>
      <w:r w:rsidR="00C70FC8">
        <w:t>) was 92</w:t>
      </w:r>
      <w:r w:rsidRPr="00F76087">
        <w:t>%. T</w:t>
      </w:r>
      <w:r w:rsidR="00804A3D">
        <w:t>he awarding</w:t>
      </w:r>
      <w:r w:rsidR="00C70FC8">
        <w:t xml:space="preserve"> gap is currently </w:t>
      </w:r>
      <w:r w:rsidRPr="00F76087">
        <w:t>3%.</w:t>
      </w:r>
    </w:p>
    <w:p w:rsidR="00C92519" w:rsidRDefault="00C92519" w:rsidP="00826BF8">
      <w:pPr>
        <w:pStyle w:val="Heading3"/>
      </w:pPr>
      <w:bookmarkStart w:id="9" w:name="_Toc62685201"/>
      <w:r>
        <w:lastRenderedPageBreak/>
        <w:t>EU</w:t>
      </w:r>
      <w:r w:rsidRPr="009A4A26">
        <w:t xml:space="preserve"> Students</w:t>
      </w:r>
      <w:bookmarkEnd w:id="9"/>
    </w:p>
    <w:p w:rsidR="00C92519" w:rsidRDefault="00B8168A" w:rsidP="00C92519">
      <w:pPr>
        <w:jc w:val="center"/>
      </w:pPr>
      <w:r>
        <w:rPr>
          <w:noProof/>
          <w:lang w:eastAsia="en-GB"/>
        </w:rPr>
        <w:drawing>
          <wp:inline distT="0" distB="0" distL="0" distR="0" wp14:anchorId="63D768A4">
            <wp:extent cx="4584700" cy="275590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68A" w:rsidRPr="00F76087" w:rsidRDefault="00B8168A" w:rsidP="00C92519">
      <w:pPr>
        <w:jc w:val="center"/>
      </w:pPr>
    </w:p>
    <w:tbl>
      <w:tblPr>
        <w:tblW w:w="2652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1564"/>
        <w:gridCol w:w="1164"/>
        <w:gridCol w:w="1204"/>
        <w:gridCol w:w="1164"/>
      </w:tblGrid>
      <w:tr w:rsidR="00C357A6" w:rsidRPr="00B8168A" w:rsidTr="00CD03AF">
        <w:trPr>
          <w:trHeight w:val="255"/>
          <w:jc w:val="center"/>
        </w:trPr>
        <w:tc>
          <w:tcPr>
            <w:tcW w:w="1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7A6" w:rsidRPr="00B8168A" w:rsidRDefault="00C357A6" w:rsidP="00C357A6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lang w:eastAsia="en-GB"/>
              </w:rPr>
            </w:pPr>
            <w:r w:rsidRPr="00B8168A">
              <w:rPr>
                <w:rFonts w:eastAsia="Times New Roman"/>
                <w:bCs/>
                <w:color w:val="000000"/>
                <w:lang w:eastAsia="en-GB"/>
              </w:rPr>
              <w:t xml:space="preserve"> Disability</w:t>
            </w:r>
          </w:p>
        </w:tc>
        <w:tc>
          <w:tcPr>
            <w:tcW w:w="34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7A6" w:rsidRPr="00B8168A" w:rsidRDefault="00C357A6" w:rsidP="00C357A6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B8168A">
              <w:rPr>
                <w:rFonts w:eastAsia="Times New Roman"/>
                <w:bCs/>
                <w:color w:val="000000"/>
                <w:lang w:eastAsia="en-GB"/>
              </w:rPr>
              <w:t>2019-20</w:t>
            </w:r>
          </w:p>
        </w:tc>
      </w:tr>
      <w:tr w:rsidR="00C357A6" w:rsidRPr="00B8168A" w:rsidTr="00CD03AF">
        <w:trPr>
          <w:trHeight w:val="255"/>
          <w:jc w:val="center"/>
        </w:trPr>
        <w:tc>
          <w:tcPr>
            <w:tcW w:w="153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7A6" w:rsidRPr="00B8168A" w:rsidRDefault="00C357A6" w:rsidP="00C357A6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A6" w:rsidRPr="00B8168A" w:rsidRDefault="00D968FE" w:rsidP="00C357A6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Number </w:t>
            </w:r>
            <w:r w:rsidR="009A46BE">
              <w:rPr>
                <w:rFonts w:eastAsia="Times New Roman"/>
                <w:bCs/>
                <w:color w:val="000000"/>
                <w:lang w:eastAsia="en-GB"/>
              </w:rPr>
              <w:t xml:space="preserve">of 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C357A6" w:rsidRPr="00B8168A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C357A6" w:rsidRPr="00B8168A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C357A6" w:rsidRPr="00B8168A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A6" w:rsidRPr="00B8168A" w:rsidRDefault="00C357A6" w:rsidP="00C357A6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B8168A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57A6" w:rsidRPr="00B8168A" w:rsidRDefault="00D968FE" w:rsidP="00C357A6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%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C357A6" w:rsidRPr="00B8168A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C357A6" w:rsidRPr="00B8168A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C357A6" w:rsidRPr="00B8168A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DB0620" w:rsidRPr="00B8168A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620" w:rsidRPr="00B8168A" w:rsidRDefault="00DB0620" w:rsidP="00DB0620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B8168A">
              <w:rPr>
                <w:rFonts w:eastAsia="Times New Roman"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20" w:rsidRPr="00B8168A" w:rsidRDefault="00DB0620" w:rsidP="00DB0620">
            <w:pPr>
              <w:spacing w:line="360" w:lineRule="auto"/>
            </w:pPr>
            <w:r w:rsidRPr="00CD03AF">
              <w:t>17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20" w:rsidRPr="00B8168A" w:rsidRDefault="00DB0620" w:rsidP="00DB0620">
            <w:pPr>
              <w:spacing w:line="360" w:lineRule="auto"/>
            </w:pPr>
            <w:r w:rsidRPr="00CD03AF">
              <w:t>18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620" w:rsidRPr="00B8168A" w:rsidRDefault="00DB0620" w:rsidP="00DB0620">
            <w:pPr>
              <w:spacing w:line="360" w:lineRule="auto"/>
            </w:pPr>
            <w:r w:rsidRPr="00CD03AF">
              <w:t>94%</w:t>
            </w:r>
          </w:p>
        </w:tc>
      </w:tr>
      <w:tr w:rsidR="00DB0620" w:rsidRPr="00B8168A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620" w:rsidRPr="00B8168A" w:rsidRDefault="00DB0620" w:rsidP="00DB0620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B8168A">
              <w:rPr>
                <w:rFonts w:eastAsia="Times New Roman"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20" w:rsidRPr="00B8168A" w:rsidRDefault="00DB0620" w:rsidP="00DB0620">
            <w:pPr>
              <w:spacing w:line="360" w:lineRule="auto"/>
            </w:pPr>
            <w:r w:rsidRPr="00CD03AF">
              <w:t>197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20" w:rsidRPr="00B8168A" w:rsidRDefault="00DB0620" w:rsidP="00DB0620">
            <w:pPr>
              <w:spacing w:line="360" w:lineRule="auto"/>
            </w:pPr>
            <w:r w:rsidRPr="00CD03AF">
              <w:t>224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620" w:rsidRPr="00B8168A" w:rsidRDefault="00DB0620" w:rsidP="00DB0620">
            <w:pPr>
              <w:spacing w:line="360" w:lineRule="auto"/>
            </w:pPr>
            <w:r w:rsidRPr="00CD03AF">
              <w:t>88%</w:t>
            </w:r>
          </w:p>
        </w:tc>
      </w:tr>
      <w:tr w:rsidR="00DB0620" w:rsidRPr="00B8168A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20" w:rsidRPr="00B8168A" w:rsidRDefault="00DB0620" w:rsidP="00DB0620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B8168A">
              <w:rPr>
                <w:rFonts w:eastAsia="Times New Roman"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20" w:rsidRPr="00B8168A" w:rsidRDefault="00DB0620" w:rsidP="00DB0620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20" w:rsidRPr="00B8168A" w:rsidRDefault="00DB0620" w:rsidP="00DB0620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620" w:rsidRPr="00B8168A" w:rsidRDefault="00DB0620" w:rsidP="00DB0620">
            <w:pPr>
              <w:spacing w:line="360" w:lineRule="auto"/>
            </w:pPr>
            <w:r w:rsidRPr="00CD03AF">
              <w:t> </w:t>
            </w:r>
          </w:p>
        </w:tc>
      </w:tr>
    </w:tbl>
    <w:p w:rsidR="0051422A" w:rsidRDefault="0051422A" w:rsidP="00C92519">
      <w:pPr>
        <w:spacing w:line="360" w:lineRule="auto"/>
        <w:rPr>
          <w:b/>
        </w:rPr>
      </w:pPr>
    </w:p>
    <w:p w:rsidR="00C92519" w:rsidRPr="00F76087" w:rsidRDefault="00C92519" w:rsidP="00C92519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C92519" w:rsidRPr="00F76087" w:rsidRDefault="007669CA" w:rsidP="00C92519">
      <w:pPr>
        <w:spacing w:line="360" w:lineRule="auto"/>
      </w:pPr>
      <w:r>
        <w:t xml:space="preserve">The percentage of disabled </w:t>
      </w:r>
      <w:r w:rsidR="00C92519" w:rsidRPr="00F76087">
        <w:t>EU UG students who</w:t>
      </w:r>
      <w:r w:rsidR="00BC711B">
        <w:t xml:space="preserve"> were awarded</w:t>
      </w:r>
      <w:r w:rsidR="00C92519" w:rsidRPr="00F76087">
        <w:t xml:space="preserve"> a I or </w:t>
      </w:r>
      <w:proofErr w:type="gramStart"/>
      <w:r w:rsidR="00C92519" w:rsidRPr="00F76087">
        <w:t>II(</w:t>
      </w:r>
      <w:proofErr w:type="spellStart"/>
      <w:proofErr w:type="gramEnd"/>
      <w:r w:rsidR="00C92519" w:rsidRPr="00F76087">
        <w:t>i</w:t>
      </w:r>
      <w:proofErr w:type="spellEnd"/>
      <w:r w:rsidR="00C92519" w:rsidRPr="00F76087">
        <w:t xml:space="preserve">) </w:t>
      </w:r>
      <w:r>
        <w:t>was 94%.</w:t>
      </w:r>
      <w:r w:rsidR="00C92519" w:rsidRPr="00F76087">
        <w:t xml:space="preserve"> The percentage of UG students </w:t>
      </w:r>
      <w:r>
        <w:t xml:space="preserve">with no known disability </w:t>
      </w:r>
      <w:r w:rsidR="00C92519" w:rsidRPr="00F76087">
        <w:t xml:space="preserve">who </w:t>
      </w:r>
      <w:r w:rsidR="00BC711B">
        <w:t>were awarded</w:t>
      </w:r>
      <w:r>
        <w:t xml:space="preserve"> a I or </w:t>
      </w:r>
      <w:proofErr w:type="gramStart"/>
      <w:r>
        <w:t>II(</w:t>
      </w:r>
      <w:proofErr w:type="spellStart"/>
      <w:proofErr w:type="gramEnd"/>
      <w:r>
        <w:t>i</w:t>
      </w:r>
      <w:proofErr w:type="spellEnd"/>
      <w:r>
        <w:t>) was 88</w:t>
      </w:r>
      <w:r w:rsidR="00C92519" w:rsidRPr="00F76087">
        <w:t>%. T</w:t>
      </w:r>
      <w:r>
        <w:t xml:space="preserve">he </w:t>
      </w:r>
      <w:r w:rsidR="007153AA">
        <w:t>awarding</w:t>
      </w:r>
      <w:r>
        <w:t xml:space="preserve"> gap is currently 6</w:t>
      </w:r>
      <w:r w:rsidR="00C92519" w:rsidRPr="00F76087">
        <w:t>%.</w:t>
      </w:r>
    </w:p>
    <w:p w:rsidR="00C92519" w:rsidRDefault="00C92519" w:rsidP="00826BF8">
      <w:pPr>
        <w:pStyle w:val="Heading3"/>
      </w:pPr>
      <w:bookmarkStart w:id="10" w:name="_Toc62685202"/>
      <w:r>
        <w:lastRenderedPageBreak/>
        <w:t>Overseas</w:t>
      </w:r>
      <w:r w:rsidRPr="009A4A26">
        <w:t xml:space="preserve"> Students</w:t>
      </w:r>
      <w:bookmarkEnd w:id="10"/>
    </w:p>
    <w:p w:rsidR="00C92519" w:rsidRDefault="009A7B80" w:rsidP="00C92519">
      <w:pPr>
        <w:jc w:val="center"/>
      </w:pPr>
      <w:r>
        <w:rPr>
          <w:noProof/>
          <w:lang w:eastAsia="en-GB"/>
        </w:rPr>
        <w:drawing>
          <wp:inline distT="0" distB="0" distL="0" distR="0" wp14:anchorId="2180398F">
            <wp:extent cx="4584700" cy="2755900"/>
            <wp:effectExtent l="0" t="0" r="635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B80" w:rsidRPr="00F76087" w:rsidRDefault="009A7B80" w:rsidP="00C92519">
      <w:pPr>
        <w:jc w:val="center"/>
      </w:pPr>
    </w:p>
    <w:tbl>
      <w:tblPr>
        <w:tblW w:w="2652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1564"/>
        <w:gridCol w:w="1164"/>
        <w:gridCol w:w="1204"/>
        <w:gridCol w:w="1164"/>
      </w:tblGrid>
      <w:tr w:rsidR="006E7403" w:rsidRPr="009A7B80" w:rsidTr="00CD03AF">
        <w:trPr>
          <w:trHeight w:val="255"/>
          <w:jc w:val="center"/>
        </w:trPr>
        <w:tc>
          <w:tcPr>
            <w:tcW w:w="1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403" w:rsidRPr="009A7B80" w:rsidRDefault="006E7403" w:rsidP="006E7403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lang w:eastAsia="en-GB"/>
              </w:rPr>
            </w:pPr>
            <w:r w:rsidRPr="009A7B80">
              <w:rPr>
                <w:rFonts w:eastAsia="Times New Roman"/>
                <w:bCs/>
                <w:color w:val="000000"/>
                <w:lang w:eastAsia="en-GB"/>
              </w:rPr>
              <w:t xml:space="preserve"> Disability</w:t>
            </w:r>
          </w:p>
        </w:tc>
        <w:tc>
          <w:tcPr>
            <w:tcW w:w="34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403" w:rsidRPr="009A7B80" w:rsidRDefault="006E7403" w:rsidP="006E740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A7B80">
              <w:rPr>
                <w:rFonts w:eastAsia="Times New Roman"/>
                <w:bCs/>
                <w:color w:val="000000"/>
                <w:lang w:eastAsia="en-GB"/>
              </w:rPr>
              <w:t>2019-20</w:t>
            </w:r>
          </w:p>
        </w:tc>
      </w:tr>
      <w:tr w:rsidR="006E7403" w:rsidRPr="009A7B80" w:rsidTr="00CD03AF">
        <w:trPr>
          <w:trHeight w:val="255"/>
          <w:jc w:val="center"/>
        </w:trPr>
        <w:tc>
          <w:tcPr>
            <w:tcW w:w="153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403" w:rsidRPr="009A7B80" w:rsidRDefault="006E7403" w:rsidP="006E740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3" w:rsidRPr="009A7B80" w:rsidRDefault="00B8027B" w:rsidP="006E740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Number </w:t>
            </w:r>
            <w:r w:rsidR="008C6B1B">
              <w:rPr>
                <w:rFonts w:eastAsia="Times New Roman"/>
                <w:bCs/>
                <w:color w:val="000000"/>
                <w:lang w:eastAsia="en-GB"/>
              </w:rPr>
              <w:t xml:space="preserve">of 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6E7403" w:rsidRPr="009A7B80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6E7403" w:rsidRPr="009A7B80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6E7403" w:rsidRPr="009A7B80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3" w:rsidRPr="009A7B80" w:rsidRDefault="006E7403" w:rsidP="006E740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A7B80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403" w:rsidRPr="009A7B80" w:rsidRDefault="00B8027B" w:rsidP="00B8027B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%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6E7403" w:rsidRPr="009A7B80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6E7403" w:rsidRPr="009A7B80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6E7403" w:rsidRPr="009A7B80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DB2EF9" w:rsidRPr="009A7B80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F9" w:rsidRPr="009A7B80" w:rsidRDefault="00DB2EF9" w:rsidP="00DB2EF9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A7B80">
              <w:rPr>
                <w:rFonts w:eastAsia="Times New Roman"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EF9" w:rsidRPr="009A7B80" w:rsidRDefault="00DB2EF9" w:rsidP="00DB2EF9">
            <w:pPr>
              <w:spacing w:line="360" w:lineRule="auto"/>
            </w:pPr>
            <w:r w:rsidRPr="00CD03AF">
              <w:t>14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EF9" w:rsidRPr="009A7B80" w:rsidRDefault="00DB2EF9" w:rsidP="00DB2EF9">
            <w:pPr>
              <w:spacing w:line="360" w:lineRule="auto"/>
            </w:pPr>
            <w:r w:rsidRPr="00CD03AF">
              <w:t>23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2EF9" w:rsidRPr="009A7B80" w:rsidRDefault="00DB2EF9" w:rsidP="00DB2EF9">
            <w:pPr>
              <w:spacing w:line="360" w:lineRule="auto"/>
            </w:pPr>
            <w:r w:rsidRPr="00CD03AF">
              <w:t>61%</w:t>
            </w:r>
          </w:p>
        </w:tc>
      </w:tr>
      <w:tr w:rsidR="00DB2EF9" w:rsidRPr="009A7B80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F9" w:rsidRPr="009A7B80" w:rsidRDefault="00DB2EF9" w:rsidP="00DB2EF9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A7B80">
              <w:rPr>
                <w:rFonts w:eastAsia="Times New Roman"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EF9" w:rsidRPr="009A7B80" w:rsidRDefault="00DB2EF9" w:rsidP="00DB2EF9">
            <w:pPr>
              <w:spacing w:line="360" w:lineRule="auto"/>
            </w:pPr>
            <w:r w:rsidRPr="00CD03AF">
              <w:t>555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EF9" w:rsidRPr="009A7B80" w:rsidRDefault="00DB2EF9" w:rsidP="00DB2EF9">
            <w:pPr>
              <w:spacing w:line="360" w:lineRule="auto"/>
            </w:pPr>
            <w:r w:rsidRPr="00CD03AF">
              <w:t>722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2EF9" w:rsidRPr="009A7B80" w:rsidRDefault="00DB2EF9" w:rsidP="00DB2EF9">
            <w:pPr>
              <w:spacing w:line="360" w:lineRule="auto"/>
            </w:pPr>
            <w:r w:rsidRPr="00CD03AF">
              <w:t>77%</w:t>
            </w:r>
          </w:p>
        </w:tc>
      </w:tr>
      <w:tr w:rsidR="00DB2EF9" w:rsidRPr="009A7B80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EF9" w:rsidRPr="009A7B80" w:rsidRDefault="00DB2EF9" w:rsidP="00DB2EF9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A7B80">
              <w:rPr>
                <w:rFonts w:eastAsia="Times New Roman"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EF9" w:rsidRPr="009A7B80" w:rsidRDefault="00DB2EF9" w:rsidP="00DB2EF9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EF9" w:rsidRPr="009A7B80" w:rsidRDefault="00DB2EF9" w:rsidP="00DB2EF9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2EF9" w:rsidRPr="009A7B80" w:rsidRDefault="00DB2EF9" w:rsidP="00DB2EF9">
            <w:pPr>
              <w:spacing w:line="360" w:lineRule="auto"/>
            </w:pPr>
            <w:r w:rsidRPr="00CD03AF">
              <w:t> </w:t>
            </w:r>
          </w:p>
        </w:tc>
      </w:tr>
    </w:tbl>
    <w:p w:rsidR="00512639" w:rsidRDefault="00512639" w:rsidP="00C92519">
      <w:pPr>
        <w:spacing w:line="360" w:lineRule="auto"/>
        <w:rPr>
          <w:b/>
        </w:rPr>
      </w:pPr>
    </w:p>
    <w:p w:rsidR="00C92519" w:rsidRPr="00F76087" w:rsidRDefault="00C92519" w:rsidP="00C92519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C92519" w:rsidRPr="00F76087" w:rsidRDefault="00C92519" w:rsidP="00C92519">
      <w:pPr>
        <w:spacing w:line="360" w:lineRule="auto"/>
      </w:pPr>
      <w:r w:rsidRPr="00F76087">
        <w:t xml:space="preserve">The percentage of </w:t>
      </w:r>
      <w:r w:rsidR="00151ECA">
        <w:t>disabled Overseas</w:t>
      </w:r>
      <w:r w:rsidRPr="00F76087">
        <w:t xml:space="preserve"> UG students who </w:t>
      </w:r>
      <w:r w:rsidR="007A1A8A">
        <w:t>were awarded</w:t>
      </w:r>
      <w:r w:rsidRPr="00F76087">
        <w:t xml:space="preserve"> a I or </w:t>
      </w:r>
      <w:proofErr w:type="gramStart"/>
      <w:r w:rsidRPr="00F76087">
        <w:t>II(</w:t>
      </w:r>
      <w:proofErr w:type="spellStart"/>
      <w:proofErr w:type="gramEnd"/>
      <w:r w:rsidRPr="00F76087">
        <w:t>i</w:t>
      </w:r>
      <w:proofErr w:type="spellEnd"/>
      <w:r w:rsidRPr="00F76087">
        <w:t xml:space="preserve">) </w:t>
      </w:r>
      <w:r w:rsidR="00151ECA">
        <w:t>was 61%</w:t>
      </w:r>
      <w:r w:rsidRPr="00F76087">
        <w:t xml:space="preserve">. The percentage of UG students </w:t>
      </w:r>
      <w:r w:rsidR="00151ECA">
        <w:t xml:space="preserve">with no known disability </w:t>
      </w:r>
      <w:r w:rsidRPr="00F76087">
        <w:t xml:space="preserve">who </w:t>
      </w:r>
      <w:r w:rsidR="007A1A8A">
        <w:t>were awarded</w:t>
      </w:r>
      <w:r w:rsidRPr="00F76087">
        <w:t xml:space="preserve"> a I or </w:t>
      </w:r>
      <w:proofErr w:type="gramStart"/>
      <w:r w:rsidRPr="00F76087">
        <w:t>II(</w:t>
      </w:r>
      <w:proofErr w:type="spellStart"/>
      <w:proofErr w:type="gramEnd"/>
      <w:r w:rsidRPr="00F76087">
        <w:t>i</w:t>
      </w:r>
      <w:proofErr w:type="spellEnd"/>
      <w:r w:rsidRPr="00F76087">
        <w:t>) was 77%. Th</w:t>
      </w:r>
      <w:r w:rsidR="00B8027B">
        <w:t>e awarding</w:t>
      </w:r>
      <w:r w:rsidR="001A10E7">
        <w:t xml:space="preserve"> gap is currently 16</w:t>
      </w:r>
      <w:r w:rsidRPr="00F76087">
        <w:t>%.</w:t>
      </w:r>
    </w:p>
    <w:p w:rsidR="00B45453" w:rsidRPr="009A4A26" w:rsidRDefault="00B45453" w:rsidP="000A3240">
      <w:pPr>
        <w:pStyle w:val="Heading2"/>
      </w:pPr>
      <w:bookmarkStart w:id="11" w:name="_Toc62685203"/>
      <w:r w:rsidRPr="009A4A26">
        <w:lastRenderedPageBreak/>
        <w:t>Ethnicity</w:t>
      </w:r>
      <w:bookmarkEnd w:id="11"/>
    </w:p>
    <w:p w:rsidR="00A6219F" w:rsidRDefault="00A9602D" w:rsidP="00826BF8">
      <w:pPr>
        <w:pStyle w:val="Heading3"/>
      </w:pPr>
      <w:bookmarkStart w:id="12" w:name="_Toc62685204"/>
      <w:r>
        <w:t>Home</w:t>
      </w:r>
      <w:r w:rsidR="00A6219F" w:rsidRPr="009A4A26">
        <w:t xml:space="preserve"> Students</w:t>
      </w:r>
      <w:bookmarkEnd w:id="12"/>
    </w:p>
    <w:p w:rsidR="00A6219F" w:rsidRDefault="0090622B" w:rsidP="00A6219F">
      <w:pPr>
        <w:jc w:val="center"/>
      </w:pPr>
      <w:r>
        <w:rPr>
          <w:noProof/>
          <w:lang w:eastAsia="en-GB"/>
        </w:rPr>
        <w:drawing>
          <wp:inline distT="0" distB="0" distL="0" distR="0" wp14:anchorId="5E489615">
            <wp:extent cx="4584700" cy="2755900"/>
            <wp:effectExtent l="0" t="0" r="635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22B" w:rsidRPr="00F76087" w:rsidRDefault="0090622B" w:rsidP="00A6219F">
      <w:pPr>
        <w:jc w:val="center"/>
      </w:pPr>
    </w:p>
    <w:tbl>
      <w:tblPr>
        <w:tblW w:w="2652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1564"/>
        <w:gridCol w:w="1164"/>
        <w:gridCol w:w="1204"/>
        <w:gridCol w:w="1164"/>
      </w:tblGrid>
      <w:tr w:rsidR="00A6219F" w:rsidRPr="009224DD" w:rsidTr="00CD03AF">
        <w:trPr>
          <w:trHeight w:val="255"/>
          <w:jc w:val="center"/>
        </w:trPr>
        <w:tc>
          <w:tcPr>
            <w:tcW w:w="1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F" w:rsidRPr="009224DD" w:rsidRDefault="004A279D" w:rsidP="00CD03A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24DD">
              <w:rPr>
                <w:rFonts w:eastAsia="Times New Roman"/>
                <w:bCs/>
                <w:color w:val="000000"/>
                <w:lang w:eastAsia="en-GB"/>
              </w:rPr>
              <w:t>Ethnicity</w:t>
            </w:r>
          </w:p>
        </w:tc>
        <w:tc>
          <w:tcPr>
            <w:tcW w:w="34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19F" w:rsidRPr="009224DD" w:rsidRDefault="00A6219F" w:rsidP="009224DD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24DD">
              <w:rPr>
                <w:rFonts w:eastAsia="Times New Roman"/>
                <w:bCs/>
                <w:color w:val="000000"/>
                <w:lang w:eastAsia="en-GB"/>
              </w:rPr>
              <w:t>2019-20</w:t>
            </w:r>
          </w:p>
        </w:tc>
      </w:tr>
      <w:tr w:rsidR="00A6219F" w:rsidRPr="009224DD" w:rsidTr="00CD03AF">
        <w:trPr>
          <w:trHeight w:val="255"/>
          <w:jc w:val="center"/>
        </w:trPr>
        <w:tc>
          <w:tcPr>
            <w:tcW w:w="153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F" w:rsidRPr="009224DD" w:rsidRDefault="00A6219F" w:rsidP="009224DD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9F" w:rsidRPr="009224DD" w:rsidRDefault="00D769DB" w:rsidP="009224DD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Number </w:t>
            </w:r>
            <w:r w:rsidR="00105CBC">
              <w:rPr>
                <w:rFonts w:eastAsia="Times New Roman"/>
                <w:bCs/>
                <w:color w:val="000000"/>
                <w:lang w:eastAsia="en-GB"/>
              </w:rPr>
              <w:t xml:space="preserve">of 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A6219F" w:rsidRPr="009224DD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A6219F" w:rsidRPr="009224DD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A6219F" w:rsidRPr="009224DD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9F" w:rsidRPr="009224DD" w:rsidRDefault="00A6219F" w:rsidP="009224DD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24DD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219F" w:rsidRPr="009224DD" w:rsidRDefault="00D769DB" w:rsidP="009224DD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%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A6219F" w:rsidRPr="009224DD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A6219F" w:rsidRPr="009224DD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A6219F" w:rsidRPr="009224DD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D62BD8" w:rsidRPr="009224DD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BD8" w:rsidRPr="009224DD" w:rsidRDefault="00D62BD8" w:rsidP="009224DD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24DD">
              <w:rPr>
                <w:rFonts w:eastAsia="Times New Roman"/>
                <w:bCs/>
                <w:color w:val="000000"/>
                <w:lang w:eastAsia="en-GB"/>
              </w:rPr>
              <w:t>White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BD8" w:rsidRPr="009224DD" w:rsidRDefault="00D62BD8" w:rsidP="009224DD">
            <w:pPr>
              <w:spacing w:line="360" w:lineRule="auto"/>
            </w:pPr>
            <w:r w:rsidRPr="00CD03AF">
              <w:t>4101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BD8" w:rsidRPr="009224DD" w:rsidRDefault="00D62BD8" w:rsidP="009224DD">
            <w:pPr>
              <w:spacing w:line="360" w:lineRule="auto"/>
            </w:pPr>
            <w:r w:rsidRPr="00CD03AF">
              <w:t>4410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BD8" w:rsidRPr="009224DD" w:rsidRDefault="00D62BD8" w:rsidP="00CD03AF">
            <w:pPr>
              <w:spacing w:before="0"/>
            </w:pPr>
            <w:r w:rsidRPr="00CD03AF">
              <w:t>93%</w:t>
            </w:r>
          </w:p>
        </w:tc>
      </w:tr>
      <w:tr w:rsidR="00D62BD8" w:rsidRPr="009224DD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BD8" w:rsidRPr="009224DD" w:rsidRDefault="00D62BD8" w:rsidP="009224DD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24DD">
              <w:rPr>
                <w:rFonts w:eastAsia="Times New Roman"/>
                <w:bCs/>
                <w:color w:val="000000"/>
                <w:lang w:eastAsia="en-GB"/>
              </w:rPr>
              <w:t>Black, Asian and minority ethnic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BD8" w:rsidRPr="009224DD" w:rsidRDefault="00D62BD8" w:rsidP="009224DD">
            <w:pPr>
              <w:spacing w:line="360" w:lineRule="auto"/>
            </w:pPr>
            <w:r w:rsidRPr="00CD03AF">
              <w:t>665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BD8" w:rsidRPr="009224DD" w:rsidRDefault="00D62BD8" w:rsidP="009224DD">
            <w:pPr>
              <w:spacing w:line="360" w:lineRule="auto"/>
            </w:pPr>
            <w:r w:rsidRPr="00CD03AF">
              <w:t>809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BD8" w:rsidRPr="009224DD" w:rsidRDefault="00D62BD8" w:rsidP="00CD03AF">
            <w:pPr>
              <w:spacing w:before="0"/>
            </w:pPr>
            <w:r w:rsidRPr="00CD03AF">
              <w:t>82%</w:t>
            </w:r>
          </w:p>
        </w:tc>
      </w:tr>
      <w:tr w:rsidR="00473A90" w:rsidRPr="009224DD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A90" w:rsidRPr="009224DD" w:rsidRDefault="00473A90" w:rsidP="009224DD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24DD">
              <w:rPr>
                <w:rFonts w:eastAsia="Times New Roman"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90" w:rsidRPr="009224DD" w:rsidRDefault="00473A90" w:rsidP="009224DD">
            <w:pPr>
              <w:spacing w:line="360" w:lineRule="auto"/>
            </w:pPr>
            <w:r w:rsidRPr="00CD03AF">
              <w:t>58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90" w:rsidRPr="009224DD" w:rsidRDefault="00473A90" w:rsidP="009224DD">
            <w:pPr>
              <w:spacing w:line="360" w:lineRule="auto"/>
            </w:pPr>
            <w:r w:rsidRPr="00CD03AF">
              <w:t>68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3A90" w:rsidRPr="009224DD" w:rsidRDefault="00473A90" w:rsidP="00CD03AF">
            <w:pPr>
              <w:spacing w:before="0"/>
            </w:pPr>
            <w:r w:rsidRPr="00CD03AF">
              <w:t>85%</w:t>
            </w:r>
          </w:p>
        </w:tc>
      </w:tr>
    </w:tbl>
    <w:p w:rsidR="00AB0DCB" w:rsidRDefault="00AB0DCB" w:rsidP="00A6219F">
      <w:pPr>
        <w:spacing w:line="360" w:lineRule="auto"/>
        <w:rPr>
          <w:b/>
        </w:rPr>
      </w:pPr>
    </w:p>
    <w:p w:rsidR="00A6219F" w:rsidRPr="00F76087" w:rsidRDefault="00A6219F" w:rsidP="00A6219F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A6219F" w:rsidRPr="00F76087" w:rsidRDefault="00D213A8" w:rsidP="00A6219F">
      <w:pPr>
        <w:spacing w:line="360" w:lineRule="auto"/>
      </w:pPr>
      <w:r>
        <w:t>The percentage of White Home</w:t>
      </w:r>
      <w:r w:rsidR="00A6219F" w:rsidRPr="00F76087">
        <w:t xml:space="preserve"> UG students who </w:t>
      </w:r>
      <w:r w:rsidR="003A5E9E">
        <w:t>were awarded</w:t>
      </w:r>
      <w:r w:rsidR="00A6219F" w:rsidRPr="00F76087">
        <w:t xml:space="preserve"> a I or </w:t>
      </w:r>
      <w:proofErr w:type="gramStart"/>
      <w:r w:rsidR="00A6219F" w:rsidRPr="00F76087">
        <w:t>II(</w:t>
      </w:r>
      <w:proofErr w:type="spellStart"/>
      <w:proofErr w:type="gramEnd"/>
      <w:r w:rsidR="00A6219F" w:rsidRPr="00F76087">
        <w:t>i</w:t>
      </w:r>
      <w:proofErr w:type="spellEnd"/>
      <w:r w:rsidR="00A6219F" w:rsidRPr="00F76087">
        <w:t xml:space="preserve">) </w:t>
      </w:r>
      <w:r>
        <w:t>was 93%</w:t>
      </w:r>
      <w:r w:rsidR="00A6219F" w:rsidRPr="00F76087">
        <w:t xml:space="preserve">. The percentage of </w:t>
      </w:r>
      <w:r>
        <w:t xml:space="preserve">Black, Asian and minority ethnic </w:t>
      </w:r>
      <w:r w:rsidR="00A6219F" w:rsidRPr="00F76087">
        <w:t xml:space="preserve">UG students who </w:t>
      </w:r>
      <w:r w:rsidR="003A5E9E">
        <w:t>were awarded</w:t>
      </w:r>
      <w:r>
        <w:t xml:space="preserve"> a I or </w:t>
      </w:r>
      <w:proofErr w:type="gramStart"/>
      <w:r>
        <w:t>II(</w:t>
      </w:r>
      <w:proofErr w:type="spellStart"/>
      <w:proofErr w:type="gramEnd"/>
      <w:r>
        <w:t>i</w:t>
      </w:r>
      <w:proofErr w:type="spellEnd"/>
      <w:r>
        <w:t>) was 82</w:t>
      </w:r>
      <w:r w:rsidR="00A6219F" w:rsidRPr="00F76087">
        <w:t>%. Th</w:t>
      </w:r>
      <w:r w:rsidR="00D769DB">
        <w:t>e awarding</w:t>
      </w:r>
      <w:r>
        <w:t xml:space="preserve"> gap is currently 11</w:t>
      </w:r>
      <w:r w:rsidR="00A6219F" w:rsidRPr="00F76087">
        <w:t>%.</w:t>
      </w:r>
    </w:p>
    <w:p w:rsidR="00A6219F" w:rsidRDefault="00A9602D" w:rsidP="00826BF8">
      <w:pPr>
        <w:pStyle w:val="Heading3"/>
      </w:pPr>
      <w:bookmarkStart w:id="13" w:name="_Toc62685205"/>
      <w:r>
        <w:lastRenderedPageBreak/>
        <w:t>EU</w:t>
      </w:r>
      <w:r w:rsidR="00A6219F" w:rsidRPr="009A4A26">
        <w:t xml:space="preserve"> Students</w:t>
      </w:r>
      <w:bookmarkEnd w:id="13"/>
    </w:p>
    <w:p w:rsidR="00A6219F" w:rsidRDefault="00D11681" w:rsidP="00A6219F">
      <w:pPr>
        <w:jc w:val="center"/>
      </w:pPr>
      <w:r>
        <w:rPr>
          <w:noProof/>
          <w:lang w:eastAsia="en-GB"/>
        </w:rPr>
        <w:drawing>
          <wp:inline distT="0" distB="0" distL="0" distR="0" wp14:anchorId="26F8A1DB">
            <wp:extent cx="4584700" cy="2755900"/>
            <wp:effectExtent l="0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681" w:rsidRPr="00F76087" w:rsidRDefault="00D11681" w:rsidP="00A6219F">
      <w:pPr>
        <w:jc w:val="center"/>
      </w:pPr>
    </w:p>
    <w:tbl>
      <w:tblPr>
        <w:tblW w:w="2652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1564"/>
        <w:gridCol w:w="1164"/>
        <w:gridCol w:w="1204"/>
        <w:gridCol w:w="1164"/>
      </w:tblGrid>
      <w:tr w:rsidR="00525A8E" w:rsidRPr="002E217F" w:rsidTr="00CD03AF">
        <w:trPr>
          <w:trHeight w:val="255"/>
          <w:jc w:val="center"/>
        </w:trPr>
        <w:tc>
          <w:tcPr>
            <w:tcW w:w="1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A8E" w:rsidRPr="002E217F" w:rsidRDefault="00525A8E" w:rsidP="00CD03A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E217F">
              <w:rPr>
                <w:rFonts w:eastAsia="Times New Roman"/>
                <w:bCs/>
                <w:color w:val="000000"/>
                <w:lang w:eastAsia="en-GB"/>
              </w:rPr>
              <w:t xml:space="preserve"> Ethnicity</w:t>
            </w:r>
          </w:p>
        </w:tc>
        <w:tc>
          <w:tcPr>
            <w:tcW w:w="34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5A8E" w:rsidRPr="002E217F" w:rsidRDefault="00525A8E" w:rsidP="002E217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E217F">
              <w:rPr>
                <w:rFonts w:eastAsia="Times New Roman"/>
                <w:bCs/>
                <w:color w:val="000000"/>
                <w:lang w:eastAsia="en-GB"/>
              </w:rPr>
              <w:t>2019-20</w:t>
            </w:r>
          </w:p>
        </w:tc>
      </w:tr>
      <w:tr w:rsidR="00525A8E" w:rsidRPr="002E217F" w:rsidTr="00CD03AF">
        <w:trPr>
          <w:trHeight w:val="255"/>
          <w:jc w:val="center"/>
        </w:trPr>
        <w:tc>
          <w:tcPr>
            <w:tcW w:w="153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A8E" w:rsidRPr="002E217F" w:rsidRDefault="00525A8E" w:rsidP="002E217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8E" w:rsidRPr="002E217F" w:rsidRDefault="00B70A4B" w:rsidP="002E217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Number </w:t>
            </w:r>
            <w:r w:rsidR="003123EE">
              <w:rPr>
                <w:rFonts w:eastAsia="Times New Roman"/>
                <w:bCs/>
                <w:color w:val="000000"/>
                <w:lang w:eastAsia="en-GB"/>
              </w:rPr>
              <w:t xml:space="preserve">of 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525A8E" w:rsidRPr="002E217F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525A8E" w:rsidRPr="002E217F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525A8E" w:rsidRPr="002E217F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8E" w:rsidRPr="002E217F" w:rsidRDefault="00525A8E" w:rsidP="002E217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E217F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5A8E" w:rsidRPr="002E217F" w:rsidRDefault="00B70A4B" w:rsidP="002E217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%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525A8E" w:rsidRPr="002E217F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525A8E" w:rsidRPr="002E217F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525A8E" w:rsidRPr="002E217F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1C6FDF" w:rsidRPr="002E217F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FDF" w:rsidRPr="002E217F" w:rsidRDefault="001C6FDF" w:rsidP="002E217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E217F">
              <w:rPr>
                <w:rFonts w:eastAsia="Times New Roman"/>
                <w:bCs/>
                <w:color w:val="000000"/>
                <w:lang w:eastAsia="en-GB"/>
              </w:rPr>
              <w:t>White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DF" w:rsidRPr="002E217F" w:rsidRDefault="001C6FDF" w:rsidP="002E217F">
            <w:pPr>
              <w:spacing w:line="360" w:lineRule="auto"/>
            </w:pPr>
            <w:r w:rsidRPr="00CD03AF">
              <w:t>73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DF" w:rsidRPr="002E217F" w:rsidRDefault="001C6FDF" w:rsidP="002E217F">
            <w:pPr>
              <w:spacing w:line="360" w:lineRule="auto"/>
            </w:pPr>
            <w:r w:rsidRPr="00CD03AF">
              <w:t>80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6FDF" w:rsidRPr="002E217F" w:rsidRDefault="001C6FDF" w:rsidP="00CD03AF">
            <w:pPr>
              <w:spacing w:before="0"/>
            </w:pPr>
            <w:r w:rsidRPr="00CD03AF">
              <w:t>91%</w:t>
            </w:r>
          </w:p>
        </w:tc>
      </w:tr>
      <w:tr w:rsidR="0085171F" w:rsidRPr="002E217F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71F" w:rsidRPr="002E217F" w:rsidRDefault="0085171F" w:rsidP="002E217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E217F">
              <w:rPr>
                <w:rFonts w:eastAsia="Times New Roman"/>
                <w:bCs/>
                <w:color w:val="000000"/>
                <w:lang w:eastAsia="en-GB"/>
              </w:rPr>
              <w:t>Black, Asian and minority ethnic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F" w:rsidRPr="002E217F" w:rsidRDefault="0085171F" w:rsidP="002E217F">
            <w:pPr>
              <w:spacing w:line="360" w:lineRule="auto"/>
            </w:pPr>
            <w:r w:rsidRPr="00CD03AF">
              <w:t>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F" w:rsidRPr="002E217F" w:rsidRDefault="0085171F" w:rsidP="002E217F">
            <w:pPr>
              <w:spacing w:line="360" w:lineRule="auto"/>
            </w:pPr>
            <w:r w:rsidRPr="00CD03AF"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71F" w:rsidRPr="002E217F" w:rsidRDefault="0085171F" w:rsidP="00CD03AF">
            <w:pPr>
              <w:spacing w:before="0"/>
            </w:pPr>
            <w:r w:rsidRPr="00CD03AF">
              <w:t>82%</w:t>
            </w:r>
          </w:p>
        </w:tc>
      </w:tr>
      <w:tr w:rsidR="0085171F" w:rsidRPr="002E217F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1F" w:rsidRPr="002E217F" w:rsidRDefault="0085171F" w:rsidP="002E217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E217F">
              <w:rPr>
                <w:rFonts w:eastAsia="Times New Roman"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F" w:rsidRPr="002E217F" w:rsidRDefault="0085171F" w:rsidP="002E217F">
            <w:pPr>
              <w:spacing w:line="360" w:lineRule="auto"/>
            </w:pPr>
            <w:r w:rsidRPr="00CD03AF">
              <w:t>132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F" w:rsidRPr="002E217F" w:rsidRDefault="0085171F" w:rsidP="002E217F">
            <w:pPr>
              <w:spacing w:line="360" w:lineRule="auto"/>
            </w:pPr>
            <w:r w:rsidRPr="00CD03AF">
              <w:t>151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71F" w:rsidRPr="002E217F" w:rsidRDefault="0085171F" w:rsidP="002E217F">
            <w:pPr>
              <w:spacing w:line="360" w:lineRule="auto"/>
            </w:pPr>
            <w:r w:rsidRPr="002E217F">
              <w:t> </w:t>
            </w:r>
            <w:r w:rsidRPr="00CD03AF">
              <w:t>87%</w:t>
            </w:r>
          </w:p>
        </w:tc>
      </w:tr>
    </w:tbl>
    <w:p w:rsidR="00592573" w:rsidRDefault="00592573" w:rsidP="00A6219F">
      <w:pPr>
        <w:spacing w:line="360" w:lineRule="auto"/>
        <w:rPr>
          <w:b/>
        </w:rPr>
      </w:pPr>
    </w:p>
    <w:p w:rsidR="00A6219F" w:rsidRPr="00F76087" w:rsidRDefault="00A6219F" w:rsidP="00A6219F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A6219F" w:rsidRPr="00F76087" w:rsidRDefault="00A6219F" w:rsidP="00A6219F">
      <w:pPr>
        <w:spacing w:line="360" w:lineRule="auto"/>
      </w:pPr>
      <w:r w:rsidRPr="00F76087">
        <w:t xml:space="preserve">The </w:t>
      </w:r>
      <w:r w:rsidR="00C23934">
        <w:t>data are presented above, but there are low numbers of Black, Asian and minority ethnic students and high rates of non-disclosure.</w:t>
      </w:r>
    </w:p>
    <w:p w:rsidR="00A6219F" w:rsidRDefault="00A6219F" w:rsidP="00826BF8">
      <w:pPr>
        <w:pStyle w:val="Heading3"/>
      </w:pPr>
      <w:bookmarkStart w:id="14" w:name="_Toc62685206"/>
      <w:r>
        <w:lastRenderedPageBreak/>
        <w:t>Overseas</w:t>
      </w:r>
      <w:r w:rsidRPr="009A4A26">
        <w:t xml:space="preserve"> Students</w:t>
      </w:r>
      <w:bookmarkEnd w:id="14"/>
    </w:p>
    <w:p w:rsidR="00A6219F" w:rsidRDefault="00310525" w:rsidP="00A6219F">
      <w:pPr>
        <w:jc w:val="center"/>
      </w:pPr>
      <w:r>
        <w:rPr>
          <w:noProof/>
          <w:lang w:eastAsia="en-GB"/>
        </w:rPr>
        <w:drawing>
          <wp:inline distT="0" distB="0" distL="0" distR="0" wp14:anchorId="468625A7">
            <wp:extent cx="4584700" cy="2755900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525" w:rsidRPr="00F76087" w:rsidRDefault="00310525" w:rsidP="00A6219F">
      <w:pPr>
        <w:jc w:val="center"/>
      </w:pPr>
    </w:p>
    <w:tbl>
      <w:tblPr>
        <w:tblW w:w="2652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1564"/>
        <w:gridCol w:w="1164"/>
        <w:gridCol w:w="1204"/>
        <w:gridCol w:w="1164"/>
      </w:tblGrid>
      <w:tr w:rsidR="00191D3A" w:rsidRPr="0092441F" w:rsidTr="00CD03AF">
        <w:trPr>
          <w:trHeight w:val="255"/>
          <w:jc w:val="center"/>
        </w:trPr>
        <w:tc>
          <w:tcPr>
            <w:tcW w:w="1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D3A" w:rsidRPr="0092441F" w:rsidRDefault="00191D3A" w:rsidP="00CD03A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441F">
              <w:rPr>
                <w:rFonts w:eastAsia="Times New Roman"/>
                <w:bCs/>
                <w:color w:val="000000"/>
                <w:lang w:eastAsia="en-GB"/>
              </w:rPr>
              <w:t xml:space="preserve"> Ethnicity</w:t>
            </w:r>
          </w:p>
        </w:tc>
        <w:tc>
          <w:tcPr>
            <w:tcW w:w="34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D3A" w:rsidRPr="0092441F" w:rsidRDefault="00191D3A" w:rsidP="0092441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441F">
              <w:rPr>
                <w:rFonts w:eastAsia="Times New Roman"/>
                <w:bCs/>
                <w:color w:val="000000"/>
                <w:lang w:eastAsia="en-GB"/>
              </w:rPr>
              <w:t>2019-20</w:t>
            </w:r>
          </w:p>
        </w:tc>
      </w:tr>
      <w:tr w:rsidR="00191D3A" w:rsidRPr="0092441F" w:rsidTr="00CD03AF">
        <w:trPr>
          <w:trHeight w:val="255"/>
          <w:jc w:val="center"/>
        </w:trPr>
        <w:tc>
          <w:tcPr>
            <w:tcW w:w="153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D3A" w:rsidRPr="0092441F" w:rsidRDefault="00191D3A" w:rsidP="0092441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3A" w:rsidRPr="0092441F" w:rsidRDefault="00BF2D5E" w:rsidP="0092441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Number</w:t>
            </w:r>
            <w:r w:rsidR="00DD2096">
              <w:rPr>
                <w:rFonts w:eastAsia="Times New Roman"/>
                <w:bCs/>
                <w:color w:val="000000"/>
                <w:lang w:eastAsia="en-GB"/>
              </w:rPr>
              <w:t xml:space="preserve"> of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191D3A" w:rsidRPr="0092441F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191D3A" w:rsidRPr="0092441F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191D3A" w:rsidRPr="0092441F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3A" w:rsidRPr="0092441F" w:rsidRDefault="00191D3A" w:rsidP="0092441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441F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1D3A" w:rsidRPr="0092441F" w:rsidRDefault="00BF2D5E" w:rsidP="0092441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%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191D3A" w:rsidRPr="0092441F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191D3A" w:rsidRPr="0092441F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191D3A" w:rsidRPr="0092441F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56192E" w:rsidRPr="0092441F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92E" w:rsidRPr="0092441F" w:rsidRDefault="0056192E" w:rsidP="0092441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441F">
              <w:rPr>
                <w:rFonts w:eastAsia="Times New Roman"/>
                <w:bCs/>
                <w:color w:val="000000"/>
                <w:lang w:eastAsia="en-GB"/>
              </w:rPr>
              <w:t>White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2E" w:rsidRPr="0092441F" w:rsidRDefault="0056192E" w:rsidP="0092441F">
            <w:pPr>
              <w:spacing w:line="360" w:lineRule="auto"/>
            </w:pPr>
            <w:r w:rsidRPr="00CD03AF">
              <w:t>25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2E" w:rsidRPr="0092441F" w:rsidRDefault="0056192E" w:rsidP="0092441F">
            <w:pPr>
              <w:spacing w:line="360" w:lineRule="auto"/>
            </w:pPr>
            <w:r w:rsidRPr="00CD03AF">
              <w:t>27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192E" w:rsidRPr="0092441F" w:rsidRDefault="0056192E" w:rsidP="00CD03AF">
            <w:pPr>
              <w:spacing w:before="0"/>
            </w:pPr>
            <w:r w:rsidRPr="00CD03AF">
              <w:t>93%</w:t>
            </w:r>
          </w:p>
        </w:tc>
      </w:tr>
      <w:tr w:rsidR="0056192E" w:rsidRPr="0092441F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92E" w:rsidRPr="0092441F" w:rsidRDefault="0056192E" w:rsidP="0092441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441F">
              <w:rPr>
                <w:rFonts w:eastAsia="Times New Roman"/>
                <w:bCs/>
                <w:color w:val="000000"/>
                <w:lang w:eastAsia="en-GB"/>
              </w:rPr>
              <w:t>Black, Asian and minority ethnic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2E" w:rsidRPr="0092441F" w:rsidRDefault="0056192E" w:rsidP="0092441F">
            <w:pPr>
              <w:spacing w:line="360" w:lineRule="auto"/>
            </w:pPr>
            <w:r w:rsidRPr="00CD03AF">
              <w:t>149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2E" w:rsidRPr="0092441F" w:rsidRDefault="0056192E" w:rsidP="0092441F">
            <w:pPr>
              <w:spacing w:line="360" w:lineRule="auto"/>
            </w:pPr>
            <w:r w:rsidRPr="00CD03AF">
              <w:t>215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192E" w:rsidRPr="0092441F" w:rsidRDefault="0056192E" w:rsidP="00CD03AF">
            <w:pPr>
              <w:spacing w:before="0"/>
            </w:pPr>
            <w:r w:rsidRPr="00CD03AF">
              <w:t>69%</w:t>
            </w:r>
          </w:p>
        </w:tc>
      </w:tr>
      <w:tr w:rsidR="0056192E" w:rsidRPr="0092441F" w:rsidTr="00CD03AF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92E" w:rsidRPr="0092441F" w:rsidRDefault="0056192E" w:rsidP="0092441F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441F">
              <w:rPr>
                <w:rFonts w:eastAsia="Times New Roman"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2E" w:rsidRPr="0092441F" w:rsidRDefault="0056192E" w:rsidP="0092441F">
            <w:pPr>
              <w:spacing w:line="360" w:lineRule="auto"/>
            </w:pPr>
            <w:r w:rsidRPr="00CD03AF">
              <w:t>395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2E" w:rsidRPr="0092441F" w:rsidRDefault="0056192E" w:rsidP="0092441F">
            <w:pPr>
              <w:spacing w:line="360" w:lineRule="auto"/>
            </w:pPr>
            <w:r w:rsidRPr="00CD03AF">
              <w:t>503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192E" w:rsidRPr="0092441F" w:rsidRDefault="0056192E" w:rsidP="0092441F">
            <w:pPr>
              <w:spacing w:line="360" w:lineRule="auto"/>
            </w:pPr>
            <w:r w:rsidRPr="0092441F">
              <w:t> </w:t>
            </w:r>
            <w:r w:rsidRPr="00CD03AF">
              <w:t>79%</w:t>
            </w:r>
          </w:p>
        </w:tc>
      </w:tr>
    </w:tbl>
    <w:p w:rsidR="000B64B0" w:rsidRDefault="000B64B0" w:rsidP="00A6219F">
      <w:pPr>
        <w:spacing w:line="360" w:lineRule="auto"/>
        <w:rPr>
          <w:b/>
        </w:rPr>
      </w:pPr>
    </w:p>
    <w:p w:rsidR="00A6219F" w:rsidRPr="00F76087" w:rsidRDefault="00A6219F" w:rsidP="00A6219F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8754AA" w:rsidRPr="00F76087" w:rsidRDefault="008754AA" w:rsidP="008754AA">
      <w:pPr>
        <w:spacing w:line="360" w:lineRule="auto"/>
      </w:pPr>
      <w:r w:rsidRPr="00F76087">
        <w:t xml:space="preserve">The </w:t>
      </w:r>
      <w:r>
        <w:t xml:space="preserve">data are presented above, but there are low numbers of </w:t>
      </w:r>
      <w:r w:rsidR="004C64AD">
        <w:t>White</w:t>
      </w:r>
      <w:r>
        <w:t xml:space="preserve"> students and high rates of non-disclosure.</w:t>
      </w:r>
    </w:p>
    <w:p w:rsidR="00696CB6" w:rsidRPr="009A4A26" w:rsidRDefault="00696CB6" w:rsidP="00F76087">
      <w:pPr>
        <w:spacing w:line="360" w:lineRule="auto"/>
        <w:rPr>
          <w:sz w:val="22"/>
        </w:rPr>
      </w:pPr>
    </w:p>
    <w:p w:rsidR="004379F9" w:rsidRPr="009A4A26" w:rsidRDefault="008D3D96" w:rsidP="000A3240">
      <w:pPr>
        <w:pStyle w:val="Heading2"/>
      </w:pPr>
      <w:bookmarkStart w:id="15" w:name="_Toc62685207"/>
      <w:r w:rsidRPr="009A4A26">
        <w:lastRenderedPageBreak/>
        <w:t>Gender</w:t>
      </w:r>
      <w:bookmarkEnd w:id="15"/>
    </w:p>
    <w:p w:rsidR="00BB0800" w:rsidRDefault="00FA5A94" w:rsidP="00826BF8">
      <w:pPr>
        <w:pStyle w:val="Heading3"/>
      </w:pPr>
      <w:bookmarkStart w:id="16" w:name="_Toc62685208"/>
      <w:r>
        <w:t>Home</w:t>
      </w:r>
      <w:r w:rsidR="00BB0800" w:rsidRPr="009A4A26">
        <w:t xml:space="preserve"> Students</w:t>
      </w:r>
      <w:bookmarkEnd w:id="16"/>
    </w:p>
    <w:p w:rsidR="00BB0800" w:rsidRDefault="00036ADB" w:rsidP="00BB0800">
      <w:pPr>
        <w:jc w:val="center"/>
      </w:pPr>
      <w:r>
        <w:rPr>
          <w:noProof/>
          <w:lang w:eastAsia="en-GB"/>
        </w:rPr>
        <w:drawing>
          <wp:inline distT="0" distB="0" distL="0" distR="0" wp14:anchorId="365A4526">
            <wp:extent cx="4584700" cy="275590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ADB" w:rsidRPr="00F76087" w:rsidRDefault="00036ADB" w:rsidP="00BB0800">
      <w:pPr>
        <w:jc w:val="center"/>
      </w:pPr>
    </w:p>
    <w:tbl>
      <w:tblPr>
        <w:tblW w:w="2652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1564"/>
        <w:gridCol w:w="1164"/>
        <w:gridCol w:w="1204"/>
        <w:gridCol w:w="1164"/>
      </w:tblGrid>
      <w:tr w:rsidR="00BB0800" w:rsidRPr="00036ADB" w:rsidTr="00553823">
        <w:trPr>
          <w:trHeight w:val="255"/>
          <w:jc w:val="center"/>
        </w:trPr>
        <w:tc>
          <w:tcPr>
            <w:tcW w:w="1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800" w:rsidRPr="00036ADB" w:rsidRDefault="00875EBE" w:rsidP="00553823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lang w:eastAsia="en-GB"/>
              </w:rPr>
            </w:pPr>
            <w:r w:rsidRPr="00036ADB">
              <w:rPr>
                <w:rFonts w:eastAsia="Times New Roman"/>
                <w:bCs/>
                <w:color w:val="000000"/>
                <w:lang w:eastAsia="en-GB"/>
              </w:rPr>
              <w:t xml:space="preserve"> Gender</w:t>
            </w:r>
          </w:p>
        </w:tc>
        <w:tc>
          <w:tcPr>
            <w:tcW w:w="34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0800" w:rsidRPr="00036ADB" w:rsidRDefault="00BB0800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36ADB">
              <w:rPr>
                <w:rFonts w:eastAsia="Times New Roman"/>
                <w:bCs/>
                <w:color w:val="000000"/>
                <w:lang w:eastAsia="en-GB"/>
              </w:rPr>
              <w:t>2019-20</w:t>
            </w:r>
          </w:p>
        </w:tc>
      </w:tr>
      <w:tr w:rsidR="00BB0800" w:rsidRPr="00036ADB" w:rsidTr="00553823">
        <w:trPr>
          <w:trHeight w:val="255"/>
          <w:jc w:val="center"/>
        </w:trPr>
        <w:tc>
          <w:tcPr>
            <w:tcW w:w="153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800" w:rsidRPr="00036ADB" w:rsidRDefault="00BB0800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00" w:rsidRPr="00036ADB" w:rsidRDefault="001818A3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Number</w:t>
            </w:r>
            <w:r w:rsidR="00D963CC">
              <w:rPr>
                <w:rFonts w:eastAsia="Times New Roman"/>
                <w:bCs/>
                <w:color w:val="000000"/>
                <w:lang w:eastAsia="en-GB"/>
              </w:rPr>
              <w:t xml:space="preserve"> of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BB0800" w:rsidRPr="00036ADB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BB0800" w:rsidRPr="00036ADB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BB0800" w:rsidRPr="00036ADB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00" w:rsidRPr="00036ADB" w:rsidRDefault="00BB0800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36ADB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0800" w:rsidRPr="00036ADB" w:rsidRDefault="001818A3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%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BB0800" w:rsidRPr="00036ADB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BB0800" w:rsidRPr="00036ADB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BB0800" w:rsidRPr="00036ADB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036ADB" w:rsidRPr="00036ADB" w:rsidTr="00553823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ADB" w:rsidRPr="00036ADB" w:rsidRDefault="00036ADB" w:rsidP="00036ADB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36ADB">
              <w:rPr>
                <w:rFonts w:eastAsia="Times New Roman"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DB" w:rsidRPr="00036ADB" w:rsidRDefault="00036ADB" w:rsidP="00036ADB">
            <w:pPr>
              <w:spacing w:line="360" w:lineRule="auto"/>
            </w:pPr>
            <w:r w:rsidRPr="00CD03AF">
              <w:t>3011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DB" w:rsidRPr="00036ADB" w:rsidRDefault="00036ADB" w:rsidP="00036ADB">
            <w:pPr>
              <w:spacing w:line="360" w:lineRule="auto"/>
            </w:pPr>
            <w:r w:rsidRPr="00CD03AF">
              <w:t>3244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ADB" w:rsidRPr="00036ADB" w:rsidRDefault="00036ADB" w:rsidP="00036ADB">
            <w:pPr>
              <w:spacing w:line="360" w:lineRule="auto"/>
            </w:pPr>
            <w:r w:rsidRPr="00CD03AF">
              <w:t>93%</w:t>
            </w:r>
          </w:p>
        </w:tc>
      </w:tr>
      <w:tr w:rsidR="00036ADB" w:rsidRPr="00036ADB" w:rsidTr="00553823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ADB" w:rsidRPr="00036ADB" w:rsidRDefault="00036ADB" w:rsidP="00036ADB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36ADB">
              <w:rPr>
                <w:rFonts w:eastAsia="Times New Roman"/>
                <w:bCs/>
                <w:color w:val="000000"/>
                <w:lang w:eastAsia="en-GB"/>
              </w:rPr>
              <w:t>Male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DB" w:rsidRPr="00036ADB" w:rsidRDefault="00036ADB" w:rsidP="00036ADB">
            <w:pPr>
              <w:spacing w:line="360" w:lineRule="auto"/>
            </w:pPr>
            <w:r w:rsidRPr="00CD03AF">
              <w:t>1810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DB" w:rsidRPr="00036ADB" w:rsidRDefault="00036ADB" w:rsidP="00036ADB">
            <w:pPr>
              <w:spacing w:line="360" w:lineRule="auto"/>
            </w:pPr>
            <w:r w:rsidRPr="00CD03AF">
              <w:t>2038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ADB" w:rsidRPr="00036ADB" w:rsidRDefault="00036ADB" w:rsidP="00036ADB">
            <w:pPr>
              <w:spacing w:line="360" w:lineRule="auto"/>
            </w:pPr>
            <w:r w:rsidRPr="00CD03AF">
              <w:t>89%</w:t>
            </w:r>
          </w:p>
        </w:tc>
      </w:tr>
      <w:tr w:rsidR="00036ADB" w:rsidRPr="00036ADB" w:rsidTr="00553823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DB" w:rsidRPr="00036ADB" w:rsidRDefault="00036ADB" w:rsidP="00036ADB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36ADB">
              <w:rPr>
                <w:rFonts w:eastAsia="Times New Roman"/>
                <w:bCs/>
                <w:color w:val="000000"/>
                <w:lang w:eastAsia="en-GB"/>
              </w:rPr>
              <w:t>Other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DB" w:rsidRPr="00036ADB" w:rsidRDefault="00036ADB" w:rsidP="00036ADB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DB" w:rsidRPr="00036ADB" w:rsidRDefault="00036ADB" w:rsidP="00036ADB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ADB" w:rsidRPr="00036ADB" w:rsidRDefault="00036ADB" w:rsidP="00036ADB">
            <w:pPr>
              <w:spacing w:line="360" w:lineRule="auto"/>
            </w:pPr>
            <w:r w:rsidRPr="00CD03AF">
              <w:t> </w:t>
            </w:r>
          </w:p>
        </w:tc>
      </w:tr>
    </w:tbl>
    <w:p w:rsidR="00F1312A" w:rsidRDefault="00F1312A" w:rsidP="00BB0800">
      <w:pPr>
        <w:spacing w:line="360" w:lineRule="auto"/>
        <w:rPr>
          <w:b/>
        </w:rPr>
      </w:pPr>
    </w:p>
    <w:p w:rsidR="00BB0800" w:rsidRPr="00F76087" w:rsidRDefault="00BB0800" w:rsidP="00BB0800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BB0800" w:rsidRPr="00F76087" w:rsidRDefault="00BB0800" w:rsidP="00BB0800">
      <w:pPr>
        <w:spacing w:line="360" w:lineRule="auto"/>
      </w:pPr>
      <w:r w:rsidRPr="00F76087">
        <w:t xml:space="preserve">The percentage of </w:t>
      </w:r>
      <w:r w:rsidR="00036ADB">
        <w:t>male Home UG students who</w:t>
      </w:r>
      <w:r w:rsidR="00E3794B">
        <w:t xml:space="preserve"> were awarded</w:t>
      </w:r>
      <w:r w:rsidRPr="00F76087">
        <w:t xml:space="preserve"> a I or </w:t>
      </w:r>
      <w:proofErr w:type="gramStart"/>
      <w:r w:rsidRPr="00F76087">
        <w:t>II(</w:t>
      </w:r>
      <w:proofErr w:type="spellStart"/>
      <w:proofErr w:type="gramEnd"/>
      <w:r w:rsidRPr="00F76087">
        <w:t>i</w:t>
      </w:r>
      <w:proofErr w:type="spellEnd"/>
      <w:r w:rsidRPr="00F76087">
        <w:t xml:space="preserve">) </w:t>
      </w:r>
      <w:r w:rsidR="00036ADB">
        <w:t>was 89%</w:t>
      </w:r>
      <w:r w:rsidRPr="00F76087">
        <w:t xml:space="preserve">. The percentage of </w:t>
      </w:r>
      <w:r w:rsidR="00036ADB">
        <w:t xml:space="preserve">female UG students who </w:t>
      </w:r>
      <w:r w:rsidR="00E3794B">
        <w:t xml:space="preserve">were awarded </w:t>
      </w:r>
      <w:r w:rsidR="00036ADB">
        <w:t xml:space="preserve">a I or </w:t>
      </w:r>
      <w:proofErr w:type="gramStart"/>
      <w:r w:rsidR="00036ADB">
        <w:t>II(</w:t>
      </w:r>
      <w:proofErr w:type="spellStart"/>
      <w:proofErr w:type="gramEnd"/>
      <w:r w:rsidR="00036ADB">
        <w:t>i</w:t>
      </w:r>
      <w:proofErr w:type="spellEnd"/>
      <w:r w:rsidR="00036ADB">
        <w:t>) was 93</w:t>
      </w:r>
      <w:r w:rsidRPr="00F76087">
        <w:t>%. Th</w:t>
      </w:r>
      <w:r w:rsidR="0086112B">
        <w:t>e awarding</w:t>
      </w:r>
      <w:r w:rsidR="00036ADB">
        <w:t xml:space="preserve"> gap is currently 4</w:t>
      </w:r>
      <w:r w:rsidRPr="00F76087">
        <w:t>%.</w:t>
      </w:r>
      <w:r w:rsidR="00AB7B60">
        <w:t xml:space="preserve"> There were no students with other gender.</w:t>
      </w:r>
    </w:p>
    <w:p w:rsidR="00BB0800" w:rsidRDefault="00FA5A94" w:rsidP="00826BF8">
      <w:pPr>
        <w:pStyle w:val="Heading3"/>
      </w:pPr>
      <w:bookmarkStart w:id="17" w:name="_Toc62685209"/>
      <w:r>
        <w:lastRenderedPageBreak/>
        <w:t>EU</w:t>
      </w:r>
      <w:r w:rsidR="00BB0800" w:rsidRPr="009A4A26">
        <w:t xml:space="preserve"> Students</w:t>
      </w:r>
      <w:bookmarkEnd w:id="17"/>
    </w:p>
    <w:p w:rsidR="00BB0800" w:rsidRDefault="004E21E6" w:rsidP="00BB0800">
      <w:pPr>
        <w:jc w:val="center"/>
      </w:pPr>
      <w:r>
        <w:rPr>
          <w:noProof/>
          <w:lang w:eastAsia="en-GB"/>
        </w:rPr>
        <w:drawing>
          <wp:inline distT="0" distB="0" distL="0" distR="0" wp14:anchorId="0CD073D3">
            <wp:extent cx="4584700" cy="2755900"/>
            <wp:effectExtent l="0" t="0" r="635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1E6" w:rsidRPr="00F76087" w:rsidRDefault="004E21E6" w:rsidP="00BB0800">
      <w:pPr>
        <w:jc w:val="center"/>
      </w:pPr>
    </w:p>
    <w:tbl>
      <w:tblPr>
        <w:tblW w:w="2652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1564"/>
        <w:gridCol w:w="1164"/>
        <w:gridCol w:w="1204"/>
        <w:gridCol w:w="1164"/>
      </w:tblGrid>
      <w:tr w:rsidR="00BB0800" w:rsidRPr="004E21E6" w:rsidTr="00553823">
        <w:trPr>
          <w:trHeight w:val="255"/>
          <w:jc w:val="center"/>
        </w:trPr>
        <w:tc>
          <w:tcPr>
            <w:tcW w:w="1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800" w:rsidRPr="004E21E6" w:rsidRDefault="00875EBE" w:rsidP="00553823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lang w:eastAsia="en-GB"/>
              </w:rPr>
            </w:pPr>
            <w:r w:rsidRPr="004E21E6">
              <w:rPr>
                <w:rFonts w:eastAsia="Times New Roman"/>
                <w:bCs/>
                <w:color w:val="000000"/>
                <w:lang w:eastAsia="en-GB"/>
              </w:rPr>
              <w:t xml:space="preserve"> Gender</w:t>
            </w:r>
          </w:p>
        </w:tc>
        <w:tc>
          <w:tcPr>
            <w:tcW w:w="34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0800" w:rsidRPr="004E21E6" w:rsidRDefault="00BB0800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E21E6">
              <w:rPr>
                <w:rFonts w:eastAsia="Times New Roman"/>
                <w:bCs/>
                <w:color w:val="000000"/>
                <w:lang w:eastAsia="en-GB"/>
              </w:rPr>
              <w:t>2019-20</w:t>
            </w:r>
          </w:p>
        </w:tc>
      </w:tr>
      <w:tr w:rsidR="00BB0800" w:rsidRPr="004E21E6" w:rsidTr="00553823">
        <w:trPr>
          <w:trHeight w:val="255"/>
          <w:jc w:val="center"/>
        </w:trPr>
        <w:tc>
          <w:tcPr>
            <w:tcW w:w="153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800" w:rsidRPr="004E21E6" w:rsidRDefault="00BB0800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00" w:rsidRPr="004E21E6" w:rsidRDefault="00BB0800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E21E6">
              <w:rPr>
                <w:rFonts w:eastAsia="Times New Roman"/>
                <w:bCs/>
                <w:color w:val="000000"/>
                <w:lang w:eastAsia="en-GB"/>
              </w:rPr>
              <w:t>Number</w:t>
            </w:r>
            <w:r w:rsidR="00A736C7">
              <w:rPr>
                <w:rFonts w:eastAsia="Times New Roman"/>
                <w:bCs/>
                <w:color w:val="000000"/>
                <w:lang w:eastAsia="en-GB"/>
              </w:rPr>
              <w:t xml:space="preserve"> of</w:t>
            </w:r>
            <w:r w:rsidRPr="004E21E6">
              <w:rPr>
                <w:rFonts w:eastAsia="Times New Roman"/>
                <w:bCs/>
                <w:color w:val="000000"/>
                <w:lang w:eastAsia="en-GB"/>
              </w:rPr>
              <w:t xml:space="preserve"> Students </w:t>
            </w:r>
            <w:r w:rsidR="00F237AC"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Pr="004E21E6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Pr="004E21E6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Pr="004E21E6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00" w:rsidRPr="004E21E6" w:rsidRDefault="00BB0800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E21E6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0800" w:rsidRPr="004E21E6" w:rsidRDefault="00F237AC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% 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BB0800" w:rsidRPr="004E21E6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BB0800" w:rsidRPr="004E21E6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BB0800" w:rsidRPr="004E21E6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4E21E6" w:rsidRPr="004E21E6" w:rsidTr="00553823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1E6" w:rsidRPr="004E21E6" w:rsidRDefault="004E21E6" w:rsidP="004E21E6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E21E6">
              <w:rPr>
                <w:rFonts w:eastAsia="Times New Roman"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E6" w:rsidRPr="004E21E6" w:rsidRDefault="004E21E6" w:rsidP="004E21E6">
            <w:pPr>
              <w:spacing w:line="360" w:lineRule="auto"/>
            </w:pPr>
            <w:r w:rsidRPr="00CD03AF">
              <w:t>131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E6" w:rsidRPr="004E21E6" w:rsidRDefault="004E21E6" w:rsidP="004E21E6">
            <w:pPr>
              <w:spacing w:line="360" w:lineRule="auto"/>
            </w:pPr>
            <w:r w:rsidRPr="00CD03AF">
              <w:t>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21E6" w:rsidRPr="004E21E6" w:rsidRDefault="004E21E6" w:rsidP="004E21E6">
            <w:pPr>
              <w:spacing w:line="360" w:lineRule="auto"/>
            </w:pPr>
            <w:r w:rsidRPr="00CD03AF">
              <w:t>89%</w:t>
            </w:r>
          </w:p>
        </w:tc>
      </w:tr>
      <w:tr w:rsidR="004E21E6" w:rsidRPr="004E21E6" w:rsidTr="00553823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1E6" w:rsidRPr="004E21E6" w:rsidRDefault="004E21E6" w:rsidP="004E21E6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E21E6">
              <w:rPr>
                <w:rFonts w:eastAsia="Times New Roman"/>
                <w:bCs/>
                <w:color w:val="000000"/>
                <w:lang w:eastAsia="en-GB"/>
              </w:rPr>
              <w:t>Male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E6" w:rsidRPr="004E21E6" w:rsidRDefault="004E21E6" w:rsidP="004E21E6">
            <w:pPr>
              <w:spacing w:line="360" w:lineRule="auto"/>
            </w:pPr>
            <w:r w:rsidRPr="00CD03AF">
              <w:t>83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E6" w:rsidRPr="004E21E6" w:rsidRDefault="004E21E6" w:rsidP="004E21E6">
            <w:pPr>
              <w:spacing w:line="360" w:lineRule="auto"/>
            </w:pPr>
            <w:r w:rsidRPr="00CD03AF">
              <w:t>95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21E6" w:rsidRPr="004E21E6" w:rsidRDefault="004E21E6" w:rsidP="004E21E6">
            <w:pPr>
              <w:spacing w:line="360" w:lineRule="auto"/>
            </w:pPr>
            <w:r w:rsidRPr="00CD03AF">
              <w:t>87%</w:t>
            </w:r>
          </w:p>
        </w:tc>
      </w:tr>
      <w:tr w:rsidR="004E21E6" w:rsidRPr="004E21E6" w:rsidTr="00553823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1E6" w:rsidRPr="004E21E6" w:rsidRDefault="004E21E6" w:rsidP="004E21E6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E21E6">
              <w:rPr>
                <w:rFonts w:eastAsia="Times New Roman"/>
                <w:bCs/>
                <w:color w:val="000000"/>
                <w:lang w:eastAsia="en-GB"/>
              </w:rPr>
              <w:t>Other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E6" w:rsidRPr="004E21E6" w:rsidRDefault="004E21E6" w:rsidP="004E21E6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E6" w:rsidRPr="004E21E6" w:rsidRDefault="004E21E6" w:rsidP="004E21E6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21E6" w:rsidRPr="004E21E6" w:rsidRDefault="004E21E6" w:rsidP="004E21E6">
            <w:pPr>
              <w:spacing w:line="360" w:lineRule="auto"/>
            </w:pPr>
            <w:r w:rsidRPr="00CD03AF">
              <w:t> </w:t>
            </w:r>
          </w:p>
        </w:tc>
      </w:tr>
    </w:tbl>
    <w:p w:rsidR="001519FF" w:rsidRDefault="001519FF" w:rsidP="00BB0800">
      <w:pPr>
        <w:spacing w:line="360" w:lineRule="auto"/>
        <w:rPr>
          <w:b/>
        </w:rPr>
      </w:pPr>
    </w:p>
    <w:p w:rsidR="00BB0800" w:rsidRPr="00F76087" w:rsidRDefault="00BB0800" w:rsidP="00BB0800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E300B5" w:rsidRPr="00F76087" w:rsidRDefault="00E300B5" w:rsidP="00E300B5">
      <w:pPr>
        <w:spacing w:line="360" w:lineRule="auto"/>
      </w:pPr>
      <w:r w:rsidRPr="00F76087">
        <w:t xml:space="preserve">The percentage of </w:t>
      </w:r>
      <w:r>
        <w:t xml:space="preserve">male </w:t>
      </w:r>
      <w:r w:rsidR="000C1027">
        <w:t>EU</w:t>
      </w:r>
      <w:r>
        <w:t xml:space="preserve"> UG students who</w:t>
      </w:r>
      <w:r w:rsidR="00FA5CF1">
        <w:t xml:space="preserve"> were awarded</w:t>
      </w:r>
      <w:r w:rsidRPr="00F76087">
        <w:t xml:space="preserve"> a I or </w:t>
      </w:r>
      <w:proofErr w:type="gramStart"/>
      <w:r w:rsidRPr="00F76087">
        <w:t>II(</w:t>
      </w:r>
      <w:proofErr w:type="spellStart"/>
      <w:proofErr w:type="gramEnd"/>
      <w:r w:rsidRPr="00F76087">
        <w:t>i</w:t>
      </w:r>
      <w:proofErr w:type="spellEnd"/>
      <w:r w:rsidRPr="00F76087">
        <w:t xml:space="preserve">) </w:t>
      </w:r>
      <w:r w:rsidR="000C1027">
        <w:t>was 87</w:t>
      </w:r>
      <w:r>
        <w:t>%</w:t>
      </w:r>
      <w:r w:rsidRPr="00F76087">
        <w:t xml:space="preserve">. The percentage of </w:t>
      </w:r>
      <w:r>
        <w:t xml:space="preserve">female UG students who </w:t>
      </w:r>
      <w:r w:rsidR="00FA5CF1">
        <w:t>were awarded</w:t>
      </w:r>
      <w:r w:rsidR="000C1027">
        <w:t xml:space="preserve"> a I or </w:t>
      </w:r>
      <w:proofErr w:type="gramStart"/>
      <w:r w:rsidR="000C1027">
        <w:t>II(</w:t>
      </w:r>
      <w:proofErr w:type="spellStart"/>
      <w:proofErr w:type="gramEnd"/>
      <w:r w:rsidR="000C1027">
        <w:t>i</w:t>
      </w:r>
      <w:proofErr w:type="spellEnd"/>
      <w:r w:rsidR="000C1027">
        <w:t>) was 89</w:t>
      </w:r>
      <w:r w:rsidRPr="00F76087">
        <w:t>%. Th</w:t>
      </w:r>
      <w:r w:rsidR="00F237AC">
        <w:t>e awarding</w:t>
      </w:r>
      <w:r w:rsidR="000C1027">
        <w:t xml:space="preserve"> gap is currently 2</w:t>
      </w:r>
      <w:r w:rsidRPr="00F76087">
        <w:t>%.</w:t>
      </w:r>
      <w:r>
        <w:t xml:space="preserve"> There were no students with other gender.</w:t>
      </w:r>
    </w:p>
    <w:p w:rsidR="00B609D6" w:rsidRDefault="00B609D6">
      <w:pPr>
        <w:spacing w:before="0" w:after="200"/>
        <w:rPr>
          <w:rFonts w:eastAsiaTheme="majorEastAsia"/>
          <w:b/>
          <w:bCs/>
          <w:sz w:val="28"/>
        </w:rPr>
      </w:pPr>
      <w:bookmarkStart w:id="18" w:name="_Toc62685210"/>
      <w:r>
        <w:br w:type="page"/>
      </w:r>
    </w:p>
    <w:p w:rsidR="00BB0800" w:rsidRDefault="00BB0800" w:rsidP="00826BF8">
      <w:pPr>
        <w:pStyle w:val="Heading3"/>
      </w:pPr>
      <w:r>
        <w:lastRenderedPageBreak/>
        <w:t>Overseas</w:t>
      </w:r>
      <w:r w:rsidRPr="009A4A26">
        <w:t xml:space="preserve"> Students</w:t>
      </w:r>
      <w:bookmarkEnd w:id="18"/>
    </w:p>
    <w:p w:rsidR="00BB0800" w:rsidRDefault="00BB0800" w:rsidP="00BB0800">
      <w:pPr>
        <w:jc w:val="center"/>
      </w:pPr>
    </w:p>
    <w:p w:rsidR="00B609D6" w:rsidRDefault="00B609D6" w:rsidP="00BB0800">
      <w:pPr>
        <w:jc w:val="center"/>
      </w:pPr>
      <w:r>
        <w:rPr>
          <w:noProof/>
          <w:lang w:eastAsia="en-GB"/>
        </w:rPr>
        <w:drawing>
          <wp:inline distT="0" distB="0" distL="0" distR="0" wp14:anchorId="4E1ABED6">
            <wp:extent cx="4584700" cy="2755900"/>
            <wp:effectExtent l="0" t="0" r="635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D6" w:rsidRPr="00F76087" w:rsidRDefault="00B609D6" w:rsidP="00BB0800">
      <w:pPr>
        <w:jc w:val="center"/>
      </w:pPr>
    </w:p>
    <w:tbl>
      <w:tblPr>
        <w:tblW w:w="2652" w:type="pct"/>
        <w:jc w:val="center"/>
        <w:tblLook w:val="04A0" w:firstRow="1" w:lastRow="0" w:firstColumn="1" w:lastColumn="0" w:noHBand="0" w:noVBand="1"/>
        <w:tblCaption w:val="Degree Classification by Age (Home/EU)"/>
        <w:tblDescription w:val="Table showing the percentage of student degree classification by age (Home/EU) in 2016-17, 2017-18 and 2018-19. Categories include under 21, 21 or over and unknown."/>
      </w:tblPr>
      <w:tblGrid>
        <w:gridCol w:w="1564"/>
        <w:gridCol w:w="1164"/>
        <w:gridCol w:w="1204"/>
        <w:gridCol w:w="1164"/>
      </w:tblGrid>
      <w:tr w:rsidR="00BB0800" w:rsidRPr="00B609D6" w:rsidTr="00553823">
        <w:trPr>
          <w:trHeight w:val="255"/>
          <w:jc w:val="center"/>
        </w:trPr>
        <w:tc>
          <w:tcPr>
            <w:tcW w:w="1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800" w:rsidRPr="00B609D6" w:rsidRDefault="00BB0800" w:rsidP="007241CE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lang w:eastAsia="en-GB"/>
              </w:rPr>
            </w:pPr>
            <w:r w:rsidRPr="00B609D6">
              <w:rPr>
                <w:rFonts w:eastAsia="Times New Roman"/>
                <w:bCs/>
                <w:color w:val="000000"/>
                <w:lang w:eastAsia="en-GB"/>
              </w:rPr>
              <w:t xml:space="preserve"> </w:t>
            </w:r>
            <w:r w:rsidR="007241CE" w:rsidRPr="00B609D6">
              <w:rPr>
                <w:rFonts w:eastAsia="Times New Roman"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34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0800" w:rsidRPr="00B609D6" w:rsidRDefault="00BB0800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B609D6">
              <w:rPr>
                <w:rFonts w:eastAsia="Times New Roman"/>
                <w:bCs/>
                <w:color w:val="000000"/>
                <w:lang w:eastAsia="en-GB"/>
              </w:rPr>
              <w:t>2019-20</w:t>
            </w:r>
          </w:p>
        </w:tc>
      </w:tr>
      <w:tr w:rsidR="00BB0800" w:rsidRPr="00B609D6" w:rsidTr="00553823">
        <w:trPr>
          <w:trHeight w:val="255"/>
          <w:jc w:val="center"/>
        </w:trPr>
        <w:tc>
          <w:tcPr>
            <w:tcW w:w="153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800" w:rsidRPr="00B609D6" w:rsidRDefault="00BB0800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00" w:rsidRPr="00B609D6" w:rsidRDefault="000128AB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 xml:space="preserve">Number </w:t>
            </w:r>
            <w:r w:rsidR="00544FCE">
              <w:rPr>
                <w:rFonts w:eastAsia="Times New Roman"/>
                <w:bCs/>
                <w:color w:val="000000"/>
                <w:lang w:eastAsia="en-GB"/>
              </w:rPr>
              <w:t xml:space="preserve">of 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Students </w:t>
            </w:r>
            <w:r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="00BB0800" w:rsidRPr="00B609D6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="00BB0800" w:rsidRPr="00B609D6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="00BB0800" w:rsidRPr="00B609D6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00" w:rsidRPr="00B609D6" w:rsidRDefault="00BB0800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B609D6">
              <w:rPr>
                <w:rFonts w:eastAsia="Times New Roman"/>
                <w:bCs/>
                <w:color w:val="000000"/>
                <w:lang w:eastAsia="en-GB"/>
              </w:rPr>
              <w:t>Number of classified degrees due to graduate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0800" w:rsidRPr="00B609D6" w:rsidRDefault="00BB0800" w:rsidP="00553823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B609D6">
              <w:rPr>
                <w:rFonts w:eastAsia="Times New Roman"/>
                <w:bCs/>
                <w:color w:val="000000"/>
                <w:lang w:eastAsia="en-GB"/>
              </w:rPr>
              <w:t>%</w:t>
            </w:r>
            <w:r w:rsidR="000128AB">
              <w:rPr>
                <w:rFonts w:eastAsia="Times New Roman"/>
                <w:bCs/>
                <w:color w:val="000000"/>
                <w:lang w:eastAsia="en-GB"/>
              </w:rPr>
              <w:t xml:space="preserve"> Students </w:t>
            </w:r>
            <w:r w:rsidR="000128AB">
              <w:rPr>
                <w:rFonts w:eastAsia="Times New Roman"/>
                <w:bCs/>
                <w:color w:val="000000"/>
                <w:lang w:eastAsia="en-GB"/>
              </w:rPr>
              <w:t>Awarded</w:t>
            </w:r>
            <w:r w:rsidRPr="00B609D6">
              <w:rPr>
                <w:rFonts w:eastAsia="Times New Roman"/>
                <w:bCs/>
                <w:color w:val="000000"/>
                <w:lang w:eastAsia="en-GB"/>
              </w:rPr>
              <w:t xml:space="preserve"> I &amp; II(</w:t>
            </w:r>
            <w:proofErr w:type="spellStart"/>
            <w:r w:rsidRPr="00B609D6">
              <w:rPr>
                <w:rFonts w:eastAsia="Times New Roman"/>
                <w:bCs/>
                <w:color w:val="000000"/>
                <w:lang w:eastAsia="en-GB"/>
              </w:rPr>
              <w:t>i</w:t>
            </w:r>
            <w:proofErr w:type="spellEnd"/>
            <w:r w:rsidRPr="00B609D6">
              <w:rPr>
                <w:rFonts w:eastAsia="Times New Roman"/>
                <w:bCs/>
                <w:color w:val="000000"/>
                <w:lang w:eastAsia="en-GB"/>
              </w:rPr>
              <w:t>)</w:t>
            </w:r>
          </w:p>
        </w:tc>
      </w:tr>
      <w:tr w:rsidR="00B609D6" w:rsidRPr="00B609D6" w:rsidTr="00553823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9D6" w:rsidRPr="00B609D6" w:rsidRDefault="00B609D6" w:rsidP="00B609D6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B609D6">
              <w:rPr>
                <w:rFonts w:eastAsia="Times New Roman"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D6" w:rsidRPr="00B609D6" w:rsidRDefault="00B609D6" w:rsidP="00B609D6">
            <w:pPr>
              <w:spacing w:line="360" w:lineRule="auto"/>
            </w:pPr>
            <w:r w:rsidRPr="00CD03AF">
              <w:t>301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D6" w:rsidRPr="00B609D6" w:rsidRDefault="00B609D6" w:rsidP="00B609D6">
            <w:pPr>
              <w:spacing w:line="360" w:lineRule="auto"/>
            </w:pPr>
            <w:r w:rsidRPr="00CD03AF">
              <w:t>391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09D6" w:rsidRPr="00B609D6" w:rsidRDefault="00B609D6" w:rsidP="00B609D6">
            <w:pPr>
              <w:spacing w:line="360" w:lineRule="auto"/>
            </w:pPr>
            <w:r w:rsidRPr="00CD03AF">
              <w:t>77%</w:t>
            </w:r>
          </w:p>
        </w:tc>
      </w:tr>
      <w:tr w:rsidR="00B609D6" w:rsidRPr="00B609D6" w:rsidTr="00553823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9D6" w:rsidRPr="00B609D6" w:rsidRDefault="00B609D6" w:rsidP="00B609D6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B609D6">
              <w:rPr>
                <w:rFonts w:eastAsia="Times New Roman"/>
                <w:bCs/>
                <w:color w:val="000000"/>
                <w:lang w:eastAsia="en-GB"/>
              </w:rPr>
              <w:t>Male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D6" w:rsidRPr="00B609D6" w:rsidRDefault="00B609D6" w:rsidP="00B609D6">
            <w:pPr>
              <w:spacing w:line="360" w:lineRule="auto"/>
            </w:pPr>
            <w:r w:rsidRPr="00CD03AF">
              <w:t>268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D6" w:rsidRPr="00B609D6" w:rsidRDefault="00B609D6" w:rsidP="00B609D6">
            <w:pPr>
              <w:spacing w:line="360" w:lineRule="auto"/>
            </w:pPr>
            <w:r w:rsidRPr="00CD03AF">
              <w:t>354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09D6" w:rsidRPr="00B609D6" w:rsidRDefault="00B609D6" w:rsidP="00B609D6">
            <w:pPr>
              <w:spacing w:line="360" w:lineRule="auto"/>
            </w:pPr>
            <w:r w:rsidRPr="00CD03AF">
              <w:t>76%</w:t>
            </w:r>
          </w:p>
        </w:tc>
      </w:tr>
      <w:tr w:rsidR="00B609D6" w:rsidRPr="00B609D6" w:rsidTr="00553823">
        <w:trPr>
          <w:trHeight w:val="255"/>
          <w:jc w:val="center"/>
        </w:trPr>
        <w:tc>
          <w:tcPr>
            <w:tcW w:w="15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9D6" w:rsidRPr="00B609D6" w:rsidRDefault="00B609D6" w:rsidP="00B609D6">
            <w:pPr>
              <w:spacing w:line="36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B609D6">
              <w:rPr>
                <w:rFonts w:eastAsia="Times New Roman"/>
                <w:bCs/>
                <w:color w:val="000000"/>
                <w:lang w:eastAsia="en-GB"/>
              </w:rPr>
              <w:t>Other</w:t>
            </w:r>
          </w:p>
        </w:tc>
        <w:tc>
          <w:tcPr>
            <w:tcW w:w="11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D6" w:rsidRPr="00B609D6" w:rsidRDefault="00B609D6" w:rsidP="00B609D6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D6" w:rsidRPr="00B609D6" w:rsidRDefault="00B609D6" w:rsidP="00B609D6">
            <w:pPr>
              <w:spacing w:line="360" w:lineRule="auto"/>
            </w:pPr>
            <w:r w:rsidRPr="00CD03AF"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09D6" w:rsidRPr="00B609D6" w:rsidRDefault="00B609D6" w:rsidP="00B609D6">
            <w:pPr>
              <w:spacing w:line="360" w:lineRule="auto"/>
            </w:pPr>
            <w:r w:rsidRPr="00CD03AF">
              <w:t> </w:t>
            </w:r>
          </w:p>
        </w:tc>
      </w:tr>
    </w:tbl>
    <w:p w:rsidR="00EC7734" w:rsidRDefault="00EC7734" w:rsidP="00BB0800">
      <w:pPr>
        <w:spacing w:line="360" w:lineRule="auto"/>
        <w:rPr>
          <w:b/>
        </w:rPr>
      </w:pPr>
    </w:p>
    <w:p w:rsidR="00BB0800" w:rsidRPr="00F76087" w:rsidRDefault="00BB0800" w:rsidP="00BB0800">
      <w:pPr>
        <w:spacing w:line="360" w:lineRule="auto"/>
        <w:rPr>
          <w:b/>
        </w:rPr>
      </w:pPr>
      <w:r w:rsidRPr="00F76087">
        <w:rPr>
          <w:b/>
        </w:rPr>
        <w:t>Commentary</w:t>
      </w:r>
    </w:p>
    <w:p w:rsidR="00E300B5" w:rsidRPr="00F76087" w:rsidRDefault="00E300B5" w:rsidP="00E300B5">
      <w:pPr>
        <w:spacing w:line="360" w:lineRule="auto"/>
      </w:pPr>
      <w:r w:rsidRPr="00F76087">
        <w:t xml:space="preserve">The percentage of </w:t>
      </w:r>
      <w:r>
        <w:t xml:space="preserve">male </w:t>
      </w:r>
      <w:r w:rsidR="002F6F85">
        <w:t>Overseas</w:t>
      </w:r>
      <w:r>
        <w:t xml:space="preserve"> UG students who </w:t>
      </w:r>
      <w:r w:rsidR="00C22C7F">
        <w:t>were awarded</w:t>
      </w:r>
      <w:r w:rsidRPr="00F76087">
        <w:t xml:space="preserve"> a I or </w:t>
      </w:r>
      <w:proofErr w:type="gramStart"/>
      <w:r w:rsidRPr="00F76087">
        <w:t>II(</w:t>
      </w:r>
      <w:proofErr w:type="spellStart"/>
      <w:proofErr w:type="gramEnd"/>
      <w:r w:rsidRPr="00F76087">
        <w:t>i</w:t>
      </w:r>
      <w:proofErr w:type="spellEnd"/>
      <w:r w:rsidRPr="00F76087">
        <w:t xml:space="preserve">) </w:t>
      </w:r>
      <w:r w:rsidR="002F6F85">
        <w:t>was 76</w:t>
      </w:r>
      <w:r>
        <w:t>%</w:t>
      </w:r>
      <w:r w:rsidRPr="00F76087">
        <w:t xml:space="preserve">. The percentage of </w:t>
      </w:r>
      <w:r>
        <w:t xml:space="preserve">female UG students who </w:t>
      </w:r>
      <w:r w:rsidR="00C22C7F">
        <w:t>were awarded</w:t>
      </w:r>
      <w:r w:rsidR="002F6F85">
        <w:t xml:space="preserve"> a I or </w:t>
      </w:r>
      <w:proofErr w:type="gramStart"/>
      <w:r w:rsidR="002F6F85">
        <w:t>II(</w:t>
      </w:r>
      <w:proofErr w:type="spellStart"/>
      <w:proofErr w:type="gramEnd"/>
      <w:r w:rsidR="002F6F85">
        <w:t>i</w:t>
      </w:r>
      <w:proofErr w:type="spellEnd"/>
      <w:r w:rsidR="002F6F85">
        <w:t>) was 77</w:t>
      </w:r>
      <w:r w:rsidRPr="00F76087">
        <w:t>%. Th</w:t>
      </w:r>
      <w:r w:rsidR="002F6F85">
        <w:t xml:space="preserve">e </w:t>
      </w:r>
      <w:r w:rsidR="007079A7">
        <w:t>awarding</w:t>
      </w:r>
      <w:r w:rsidR="002F6F85">
        <w:t xml:space="preserve"> gap is currently 1</w:t>
      </w:r>
      <w:r w:rsidRPr="00F76087">
        <w:t>%.</w:t>
      </w:r>
      <w:r>
        <w:t xml:space="preserve"> There were no students with other gender.</w:t>
      </w:r>
    </w:p>
    <w:p w:rsidR="00177A55" w:rsidRPr="009A4A26" w:rsidRDefault="00177A55" w:rsidP="00CD03AF">
      <w:pPr>
        <w:rPr>
          <w:sz w:val="22"/>
        </w:rPr>
      </w:pPr>
    </w:p>
    <w:sectPr w:rsidR="00177A55" w:rsidRPr="009A4A26" w:rsidSect="00CD03AF">
      <w:pgSz w:w="11906" w:h="16838"/>
      <w:pgMar w:top="1440" w:right="1134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5C" w:rsidRDefault="000F0D5C" w:rsidP="00C06319">
      <w:pPr>
        <w:spacing w:before="0" w:line="240" w:lineRule="auto"/>
      </w:pPr>
      <w:r>
        <w:separator/>
      </w:r>
    </w:p>
  </w:endnote>
  <w:endnote w:type="continuationSeparator" w:id="0">
    <w:p w:rsidR="000F0D5C" w:rsidRDefault="000F0D5C" w:rsidP="00C063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5C" w:rsidRDefault="000F0D5C" w:rsidP="00C06319">
      <w:pPr>
        <w:spacing w:before="0" w:line="240" w:lineRule="auto"/>
      </w:pPr>
      <w:r>
        <w:separator/>
      </w:r>
    </w:p>
  </w:footnote>
  <w:footnote w:type="continuationSeparator" w:id="0">
    <w:p w:rsidR="000F0D5C" w:rsidRDefault="000F0D5C" w:rsidP="00C06319">
      <w:pPr>
        <w:spacing w:before="0" w:line="240" w:lineRule="auto"/>
      </w:pPr>
      <w:r>
        <w:continuationSeparator/>
      </w:r>
    </w:p>
  </w:footnote>
  <w:footnote w:id="1">
    <w:p w:rsidR="00553823" w:rsidRDefault="00553823">
      <w:pPr>
        <w:pStyle w:val="FootnoteText"/>
      </w:pPr>
      <w:r w:rsidRPr="00F76087">
        <w:rPr>
          <w:rStyle w:val="FootnoteReference"/>
          <w:sz w:val="24"/>
          <w:szCs w:val="24"/>
        </w:rPr>
        <w:footnoteRef/>
      </w:r>
      <w:r w:rsidRPr="00F76087">
        <w:rPr>
          <w:sz w:val="24"/>
          <w:szCs w:val="24"/>
        </w:rPr>
        <w:t xml:space="preserve"> Disability is defined under the Equality Act 2010 as a physical or mental impairment that has a substantial and long-term negative effect on a person’s ability to carry out normal daily activities</w:t>
      </w:r>
      <w:r w:rsidRPr="00847CE8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558"/>
        </w:tabs>
        <w:ind w:left="1558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94887"/>
    <w:multiLevelType w:val="hybridMultilevel"/>
    <w:tmpl w:val="8AFC84A8"/>
    <w:lvl w:ilvl="0" w:tplc="BF28D4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9484E"/>
    <w:multiLevelType w:val="hybridMultilevel"/>
    <w:tmpl w:val="4FCC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D6028"/>
    <w:multiLevelType w:val="hybridMultilevel"/>
    <w:tmpl w:val="A8927638"/>
    <w:lvl w:ilvl="0" w:tplc="BFA6F1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024CB"/>
    <w:multiLevelType w:val="hybridMultilevel"/>
    <w:tmpl w:val="8672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9355A"/>
    <w:multiLevelType w:val="hybridMultilevel"/>
    <w:tmpl w:val="E4C63A84"/>
    <w:lvl w:ilvl="0" w:tplc="3E441E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E0CED"/>
    <w:multiLevelType w:val="hybridMultilevel"/>
    <w:tmpl w:val="519E7186"/>
    <w:lvl w:ilvl="0" w:tplc="D632B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03CCB"/>
    <w:multiLevelType w:val="hybridMultilevel"/>
    <w:tmpl w:val="1574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F4022"/>
    <w:multiLevelType w:val="hybridMultilevel"/>
    <w:tmpl w:val="27CA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C2FAC"/>
    <w:multiLevelType w:val="hybridMultilevel"/>
    <w:tmpl w:val="186C66A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2C0873C6"/>
    <w:multiLevelType w:val="hybridMultilevel"/>
    <w:tmpl w:val="BA6C4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E5EE3"/>
    <w:multiLevelType w:val="hybridMultilevel"/>
    <w:tmpl w:val="041634D0"/>
    <w:lvl w:ilvl="0" w:tplc="6DCA5B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2437D"/>
    <w:multiLevelType w:val="hybridMultilevel"/>
    <w:tmpl w:val="849A872C"/>
    <w:lvl w:ilvl="0" w:tplc="4B2C3B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4096"/>
    <w:multiLevelType w:val="hybridMultilevel"/>
    <w:tmpl w:val="E9D05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C4B37"/>
    <w:multiLevelType w:val="hybridMultilevel"/>
    <w:tmpl w:val="7230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BB4"/>
    <w:multiLevelType w:val="hybridMultilevel"/>
    <w:tmpl w:val="7B5CDC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12330"/>
    <w:multiLevelType w:val="hybridMultilevel"/>
    <w:tmpl w:val="A2DAF5B6"/>
    <w:lvl w:ilvl="0" w:tplc="07BAC5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43177"/>
    <w:multiLevelType w:val="hybridMultilevel"/>
    <w:tmpl w:val="9CF26F28"/>
    <w:lvl w:ilvl="0" w:tplc="74D0D28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8526E"/>
    <w:multiLevelType w:val="hybridMultilevel"/>
    <w:tmpl w:val="C5E6BBFE"/>
    <w:lvl w:ilvl="0" w:tplc="86BC6E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3645"/>
    <w:multiLevelType w:val="hybridMultilevel"/>
    <w:tmpl w:val="64D2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02164"/>
    <w:multiLevelType w:val="hybridMultilevel"/>
    <w:tmpl w:val="571E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769AE"/>
    <w:multiLevelType w:val="hybridMultilevel"/>
    <w:tmpl w:val="22D6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07FF9"/>
    <w:multiLevelType w:val="hybridMultilevel"/>
    <w:tmpl w:val="8D4E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E749E"/>
    <w:multiLevelType w:val="hybridMultilevel"/>
    <w:tmpl w:val="76D098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249EF"/>
    <w:multiLevelType w:val="hybridMultilevel"/>
    <w:tmpl w:val="3F48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654EE"/>
    <w:multiLevelType w:val="multilevel"/>
    <w:tmpl w:val="059CA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D97601"/>
    <w:multiLevelType w:val="hybridMultilevel"/>
    <w:tmpl w:val="90BC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1EEB"/>
    <w:multiLevelType w:val="hybridMultilevel"/>
    <w:tmpl w:val="683C40F0"/>
    <w:lvl w:ilvl="0" w:tplc="BE16FE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71C2E"/>
    <w:multiLevelType w:val="hybridMultilevel"/>
    <w:tmpl w:val="98188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7"/>
  </w:num>
  <w:num w:numId="13">
    <w:abstractNumId w:val="34"/>
  </w:num>
  <w:num w:numId="14">
    <w:abstractNumId w:val="17"/>
  </w:num>
  <w:num w:numId="15">
    <w:abstractNumId w:val="35"/>
  </w:num>
  <w:num w:numId="16">
    <w:abstractNumId w:val="33"/>
  </w:num>
  <w:num w:numId="17">
    <w:abstractNumId w:val="30"/>
  </w:num>
  <w:num w:numId="18">
    <w:abstractNumId w:val="23"/>
  </w:num>
  <w:num w:numId="19">
    <w:abstractNumId w:val="13"/>
  </w:num>
  <w:num w:numId="20">
    <w:abstractNumId w:val="16"/>
  </w:num>
  <w:num w:numId="21">
    <w:abstractNumId w:val="11"/>
  </w:num>
  <w:num w:numId="22">
    <w:abstractNumId w:val="31"/>
  </w:num>
  <w:num w:numId="23">
    <w:abstractNumId w:val="28"/>
  </w:num>
  <w:num w:numId="24">
    <w:abstractNumId w:val="29"/>
  </w:num>
  <w:num w:numId="25">
    <w:abstractNumId w:val="22"/>
  </w:num>
  <w:num w:numId="26">
    <w:abstractNumId w:val="32"/>
  </w:num>
  <w:num w:numId="27">
    <w:abstractNumId w:val="24"/>
  </w:num>
  <w:num w:numId="28">
    <w:abstractNumId w:val="19"/>
  </w:num>
  <w:num w:numId="29">
    <w:abstractNumId w:val="21"/>
  </w:num>
  <w:num w:numId="30">
    <w:abstractNumId w:val="20"/>
  </w:num>
  <w:num w:numId="31">
    <w:abstractNumId w:val="12"/>
  </w:num>
  <w:num w:numId="32">
    <w:abstractNumId w:val="14"/>
  </w:num>
  <w:num w:numId="33">
    <w:abstractNumId w:val="36"/>
  </w:num>
  <w:num w:numId="34">
    <w:abstractNumId w:val="27"/>
  </w:num>
  <w:num w:numId="35">
    <w:abstractNumId w:val="10"/>
  </w:num>
  <w:num w:numId="36">
    <w:abstractNumId w:val="15"/>
  </w:num>
  <w:num w:numId="37">
    <w:abstractNumId w:val="2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28"/>
    <w:rsid w:val="000059CB"/>
    <w:rsid w:val="000128AB"/>
    <w:rsid w:val="00013B42"/>
    <w:rsid w:val="00014F2E"/>
    <w:rsid w:val="000158C2"/>
    <w:rsid w:val="00015DC8"/>
    <w:rsid w:val="00016684"/>
    <w:rsid w:val="00020E50"/>
    <w:rsid w:val="000219F5"/>
    <w:rsid w:val="00023E02"/>
    <w:rsid w:val="000240A2"/>
    <w:rsid w:val="000262D6"/>
    <w:rsid w:val="00027883"/>
    <w:rsid w:val="00027D0C"/>
    <w:rsid w:val="00032083"/>
    <w:rsid w:val="00033590"/>
    <w:rsid w:val="0003603F"/>
    <w:rsid w:val="0003648A"/>
    <w:rsid w:val="00036ADB"/>
    <w:rsid w:val="000411FD"/>
    <w:rsid w:val="00041A1B"/>
    <w:rsid w:val="00042260"/>
    <w:rsid w:val="00043868"/>
    <w:rsid w:val="00057C19"/>
    <w:rsid w:val="00063872"/>
    <w:rsid w:val="0006394D"/>
    <w:rsid w:val="0006728A"/>
    <w:rsid w:val="00075243"/>
    <w:rsid w:val="00081E7A"/>
    <w:rsid w:val="0008794C"/>
    <w:rsid w:val="000A1828"/>
    <w:rsid w:val="000A2F0D"/>
    <w:rsid w:val="000A3240"/>
    <w:rsid w:val="000A395C"/>
    <w:rsid w:val="000A4B11"/>
    <w:rsid w:val="000B19EF"/>
    <w:rsid w:val="000B64B0"/>
    <w:rsid w:val="000B692E"/>
    <w:rsid w:val="000B6AE5"/>
    <w:rsid w:val="000C1027"/>
    <w:rsid w:val="000C2FE1"/>
    <w:rsid w:val="000C32CE"/>
    <w:rsid w:val="000D2183"/>
    <w:rsid w:val="000E0EEA"/>
    <w:rsid w:val="000F0D5C"/>
    <w:rsid w:val="001042F1"/>
    <w:rsid w:val="00105CBC"/>
    <w:rsid w:val="00107AF1"/>
    <w:rsid w:val="001128AD"/>
    <w:rsid w:val="001129C5"/>
    <w:rsid w:val="00112FFC"/>
    <w:rsid w:val="001131DC"/>
    <w:rsid w:val="00113811"/>
    <w:rsid w:val="00122760"/>
    <w:rsid w:val="001424D3"/>
    <w:rsid w:val="0015168C"/>
    <w:rsid w:val="001519FF"/>
    <w:rsid w:val="00151ECA"/>
    <w:rsid w:val="0015692C"/>
    <w:rsid w:val="00156AB9"/>
    <w:rsid w:val="0016114D"/>
    <w:rsid w:val="0016248B"/>
    <w:rsid w:val="001630E8"/>
    <w:rsid w:val="00163A87"/>
    <w:rsid w:val="001646A0"/>
    <w:rsid w:val="001716FD"/>
    <w:rsid w:val="00177A55"/>
    <w:rsid w:val="001818A3"/>
    <w:rsid w:val="00185CBA"/>
    <w:rsid w:val="00191D3A"/>
    <w:rsid w:val="00191E8C"/>
    <w:rsid w:val="001A02F3"/>
    <w:rsid w:val="001A10E7"/>
    <w:rsid w:val="001A5786"/>
    <w:rsid w:val="001C212C"/>
    <w:rsid w:val="001C2F45"/>
    <w:rsid w:val="001C40DD"/>
    <w:rsid w:val="001C42A3"/>
    <w:rsid w:val="001C6FDF"/>
    <w:rsid w:val="001C75E8"/>
    <w:rsid w:val="001D1647"/>
    <w:rsid w:val="001D1657"/>
    <w:rsid w:val="001D3CAD"/>
    <w:rsid w:val="001E1152"/>
    <w:rsid w:val="001E1817"/>
    <w:rsid w:val="001E6757"/>
    <w:rsid w:val="001F0028"/>
    <w:rsid w:val="001F34FE"/>
    <w:rsid w:val="001F47EE"/>
    <w:rsid w:val="001F566A"/>
    <w:rsid w:val="00203369"/>
    <w:rsid w:val="002062A4"/>
    <w:rsid w:val="00206D62"/>
    <w:rsid w:val="00210749"/>
    <w:rsid w:val="0021667E"/>
    <w:rsid w:val="002203FA"/>
    <w:rsid w:val="0022077F"/>
    <w:rsid w:val="00221150"/>
    <w:rsid w:val="00221CA9"/>
    <w:rsid w:val="002262CD"/>
    <w:rsid w:val="00227A43"/>
    <w:rsid w:val="002312C8"/>
    <w:rsid w:val="00233025"/>
    <w:rsid w:val="00234634"/>
    <w:rsid w:val="00234643"/>
    <w:rsid w:val="002374A8"/>
    <w:rsid w:val="00241A6E"/>
    <w:rsid w:val="00257AC4"/>
    <w:rsid w:val="00257C1E"/>
    <w:rsid w:val="00271175"/>
    <w:rsid w:val="00273123"/>
    <w:rsid w:val="00275612"/>
    <w:rsid w:val="00276499"/>
    <w:rsid w:val="00294428"/>
    <w:rsid w:val="00294A37"/>
    <w:rsid w:val="00295D6D"/>
    <w:rsid w:val="002A0982"/>
    <w:rsid w:val="002A237B"/>
    <w:rsid w:val="002B72E8"/>
    <w:rsid w:val="002C20EB"/>
    <w:rsid w:val="002C3714"/>
    <w:rsid w:val="002D4064"/>
    <w:rsid w:val="002E217F"/>
    <w:rsid w:val="002E5E26"/>
    <w:rsid w:val="002F0DEB"/>
    <w:rsid w:val="002F3724"/>
    <w:rsid w:val="002F4062"/>
    <w:rsid w:val="002F6F85"/>
    <w:rsid w:val="002F745F"/>
    <w:rsid w:val="0030120E"/>
    <w:rsid w:val="00310525"/>
    <w:rsid w:val="003123EE"/>
    <w:rsid w:val="00314426"/>
    <w:rsid w:val="00323C36"/>
    <w:rsid w:val="003272D5"/>
    <w:rsid w:val="00330467"/>
    <w:rsid w:val="00337728"/>
    <w:rsid w:val="003400F1"/>
    <w:rsid w:val="00341684"/>
    <w:rsid w:val="00355242"/>
    <w:rsid w:val="0036236D"/>
    <w:rsid w:val="00381865"/>
    <w:rsid w:val="00384061"/>
    <w:rsid w:val="00387500"/>
    <w:rsid w:val="00390E6E"/>
    <w:rsid w:val="003918BB"/>
    <w:rsid w:val="003A3722"/>
    <w:rsid w:val="003A490B"/>
    <w:rsid w:val="003A5E9E"/>
    <w:rsid w:val="003A6C7E"/>
    <w:rsid w:val="003B36F1"/>
    <w:rsid w:val="003D64BA"/>
    <w:rsid w:val="003E0754"/>
    <w:rsid w:val="003F622C"/>
    <w:rsid w:val="00403656"/>
    <w:rsid w:val="00407988"/>
    <w:rsid w:val="0041168F"/>
    <w:rsid w:val="004120DA"/>
    <w:rsid w:val="0041358D"/>
    <w:rsid w:val="00416AA0"/>
    <w:rsid w:val="004203A3"/>
    <w:rsid w:val="00427B68"/>
    <w:rsid w:val="0043141C"/>
    <w:rsid w:val="004379F9"/>
    <w:rsid w:val="00440D8A"/>
    <w:rsid w:val="0044588B"/>
    <w:rsid w:val="00447499"/>
    <w:rsid w:val="00455EE7"/>
    <w:rsid w:val="004612C0"/>
    <w:rsid w:val="00463F59"/>
    <w:rsid w:val="00473A90"/>
    <w:rsid w:val="00481334"/>
    <w:rsid w:val="00491EE4"/>
    <w:rsid w:val="00497E51"/>
    <w:rsid w:val="004A03F1"/>
    <w:rsid w:val="004A279D"/>
    <w:rsid w:val="004A7B67"/>
    <w:rsid w:val="004B1E98"/>
    <w:rsid w:val="004B4E0B"/>
    <w:rsid w:val="004B5763"/>
    <w:rsid w:val="004B716D"/>
    <w:rsid w:val="004C05B2"/>
    <w:rsid w:val="004C55A3"/>
    <w:rsid w:val="004C64AD"/>
    <w:rsid w:val="004D0064"/>
    <w:rsid w:val="004E21E6"/>
    <w:rsid w:val="005021DF"/>
    <w:rsid w:val="00512639"/>
    <w:rsid w:val="0051422A"/>
    <w:rsid w:val="0052330C"/>
    <w:rsid w:val="00525A8E"/>
    <w:rsid w:val="00526297"/>
    <w:rsid w:val="00531052"/>
    <w:rsid w:val="00534367"/>
    <w:rsid w:val="00534F2F"/>
    <w:rsid w:val="00544C84"/>
    <w:rsid w:val="00544FCE"/>
    <w:rsid w:val="00552927"/>
    <w:rsid w:val="00553823"/>
    <w:rsid w:val="00557E67"/>
    <w:rsid w:val="0056192E"/>
    <w:rsid w:val="0056264E"/>
    <w:rsid w:val="00562A64"/>
    <w:rsid w:val="00565391"/>
    <w:rsid w:val="005720B1"/>
    <w:rsid w:val="005742E7"/>
    <w:rsid w:val="00583E01"/>
    <w:rsid w:val="005866EF"/>
    <w:rsid w:val="005902E4"/>
    <w:rsid w:val="00592573"/>
    <w:rsid w:val="0059354B"/>
    <w:rsid w:val="005A3F09"/>
    <w:rsid w:val="005B0D14"/>
    <w:rsid w:val="005C0E6C"/>
    <w:rsid w:val="005C11FD"/>
    <w:rsid w:val="005C63F6"/>
    <w:rsid w:val="005D5F56"/>
    <w:rsid w:val="005D7677"/>
    <w:rsid w:val="005D7B39"/>
    <w:rsid w:val="005F31EA"/>
    <w:rsid w:val="00610467"/>
    <w:rsid w:val="00617E05"/>
    <w:rsid w:val="00623F19"/>
    <w:rsid w:val="006337F4"/>
    <w:rsid w:val="006422C8"/>
    <w:rsid w:val="00643444"/>
    <w:rsid w:val="00651564"/>
    <w:rsid w:val="006576F9"/>
    <w:rsid w:val="00657D2E"/>
    <w:rsid w:val="00666279"/>
    <w:rsid w:val="00685397"/>
    <w:rsid w:val="00687648"/>
    <w:rsid w:val="0069007B"/>
    <w:rsid w:val="006963AC"/>
    <w:rsid w:val="00696CB6"/>
    <w:rsid w:val="00697C57"/>
    <w:rsid w:val="006A3CFB"/>
    <w:rsid w:val="006A5505"/>
    <w:rsid w:val="006A6E4B"/>
    <w:rsid w:val="006E7403"/>
    <w:rsid w:val="006F163E"/>
    <w:rsid w:val="006F6ECF"/>
    <w:rsid w:val="007032DA"/>
    <w:rsid w:val="007079A7"/>
    <w:rsid w:val="007153AA"/>
    <w:rsid w:val="007241CE"/>
    <w:rsid w:val="00725745"/>
    <w:rsid w:val="00730B75"/>
    <w:rsid w:val="00731E22"/>
    <w:rsid w:val="00735E4C"/>
    <w:rsid w:val="0074169F"/>
    <w:rsid w:val="0074497D"/>
    <w:rsid w:val="007476F8"/>
    <w:rsid w:val="00756CA9"/>
    <w:rsid w:val="00757F39"/>
    <w:rsid w:val="00762CA5"/>
    <w:rsid w:val="007669CA"/>
    <w:rsid w:val="0077759F"/>
    <w:rsid w:val="00786E4B"/>
    <w:rsid w:val="00787B48"/>
    <w:rsid w:val="0079642B"/>
    <w:rsid w:val="007A1A8A"/>
    <w:rsid w:val="007A5061"/>
    <w:rsid w:val="007B1C1C"/>
    <w:rsid w:val="007B3929"/>
    <w:rsid w:val="007C0E3A"/>
    <w:rsid w:val="007C0FE3"/>
    <w:rsid w:val="007C430C"/>
    <w:rsid w:val="007D47FD"/>
    <w:rsid w:val="007D64CC"/>
    <w:rsid w:val="007E0F92"/>
    <w:rsid w:val="007E2CBB"/>
    <w:rsid w:val="007E5681"/>
    <w:rsid w:val="007F0CC9"/>
    <w:rsid w:val="007F0E76"/>
    <w:rsid w:val="007F4612"/>
    <w:rsid w:val="00804A3D"/>
    <w:rsid w:val="00813A58"/>
    <w:rsid w:val="0082255C"/>
    <w:rsid w:val="00823C18"/>
    <w:rsid w:val="00826BF8"/>
    <w:rsid w:val="00831E38"/>
    <w:rsid w:val="0083483E"/>
    <w:rsid w:val="008350C5"/>
    <w:rsid w:val="008502D7"/>
    <w:rsid w:val="0085171F"/>
    <w:rsid w:val="008558BA"/>
    <w:rsid w:val="008565A7"/>
    <w:rsid w:val="0086112B"/>
    <w:rsid w:val="00862EFD"/>
    <w:rsid w:val="00873D7B"/>
    <w:rsid w:val="008754AA"/>
    <w:rsid w:val="00875EBE"/>
    <w:rsid w:val="00880119"/>
    <w:rsid w:val="00890E90"/>
    <w:rsid w:val="00895B25"/>
    <w:rsid w:val="008A0D12"/>
    <w:rsid w:val="008A5610"/>
    <w:rsid w:val="008A6FF3"/>
    <w:rsid w:val="008C6B1B"/>
    <w:rsid w:val="008C7C8B"/>
    <w:rsid w:val="008D039E"/>
    <w:rsid w:val="008D2519"/>
    <w:rsid w:val="008D3D96"/>
    <w:rsid w:val="008E327D"/>
    <w:rsid w:val="008F749C"/>
    <w:rsid w:val="00900E2D"/>
    <w:rsid w:val="00903129"/>
    <w:rsid w:val="009057DF"/>
    <w:rsid w:val="0090622B"/>
    <w:rsid w:val="0091059B"/>
    <w:rsid w:val="00911A1D"/>
    <w:rsid w:val="009142DF"/>
    <w:rsid w:val="00917B94"/>
    <w:rsid w:val="009224DD"/>
    <w:rsid w:val="009240DE"/>
    <w:rsid w:val="009240F7"/>
    <w:rsid w:val="0092441F"/>
    <w:rsid w:val="00930117"/>
    <w:rsid w:val="009308AA"/>
    <w:rsid w:val="00936F9D"/>
    <w:rsid w:val="00944ACF"/>
    <w:rsid w:val="00945843"/>
    <w:rsid w:val="00956044"/>
    <w:rsid w:val="00956A15"/>
    <w:rsid w:val="00961D21"/>
    <w:rsid w:val="009717C8"/>
    <w:rsid w:val="009729A2"/>
    <w:rsid w:val="00993126"/>
    <w:rsid w:val="009932A5"/>
    <w:rsid w:val="00995DAE"/>
    <w:rsid w:val="00996ED0"/>
    <w:rsid w:val="009973B0"/>
    <w:rsid w:val="009A064A"/>
    <w:rsid w:val="009A1329"/>
    <w:rsid w:val="009A2328"/>
    <w:rsid w:val="009A46BE"/>
    <w:rsid w:val="009A4A26"/>
    <w:rsid w:val="009A4EE6"/>
    <w:rsid w:val="009A75C7"/>
    <w:rsid w:val="009A7B80"/>
    <w:rsid w:val="009D433F"/>
    <w:rsid w:val="009D5E15"/>
    <w:rsid w:val="009E04BB"/>
    <w:rsid w:val="009E49DD"/>
    <w:rsid w:val="009E6B25"/>
    <w:rsid w:val="009E7423"/>
    <w:rsid w:val="009F028C"/>
    <w:rsid w:val="00A17CE9"/>
    <w:rsid w:val="00A22866"/>
    <w:rsid w:val="00A228F1"/>
    <w:rsid w:val="00A2404A"/>
    <w:rsid w:val="00A36CF5"/>
    <w:rsid w:val="00A4595D"/>
    <w:rsid w:val="00A51F9B"/>
    <w:rsid w:val="00A52D04"/>
    <w:rsid w:val="00A52F3B"/>
    <w:rsid w:val="00A6219F"/>
    <w:rsid w:val="00A7347C"/>
    <w:rsid w:val="00A736C7"/>
    <w:rsid w:val="00A7671F"/>
    <w:rsid w:val="00A85D05"/>
    <w:rsid w:val="00A86D67"/>
    <w:rsid w:val="00A9602D"/>
    <w:rsid w:val="00AA324C"/>
    <w:rsid w:val="00AA4F4C"/>
    <w:rsid w:val="00AB0673"/>
    <w:rsid w:val="00AB0DCB"/>
    <w:rsid w:val="00AB47F8"/>
    <w:rsid w:val="00AB723C"/>
    <w:rsid w:val="00AB7B60"/>
    <w:rsid w:val="00AD1B4C"/>
    <w:rsid w:val="00AD3173"/>
    <w:rsid w:val="00AE0AEA"/>
    <w:rsid w:val="00B101F0"/>
    <w:rsid w:val="00B12F76"/>
    <w:rsid w:val="00B2221E"/>
    <w:rsid w:val="00B23E4E"/>
    <w:rsid w:val="00B240D6"/>
    <w:rsid w:val="00B34AC7"/>
    <w:rsid w:val="00B3772F"/>
    <w:rsid w:val="00B40942"/>
    <w:rsid w:val="00B4203A"/>
    <w:rsid w:val="00B45453"/>
    <w:rsid w:val="00B535D6"/>
    <w:rsid w:val="00B539FE"/>
    <w:rsid w:val="00B609D6"/>
    <w:rsid w:val="00B635CD"/>
    <w:rsid w:val="00B66877"/>
    <w:rsid w:val="00B70A4B"/>
    <w:rsid w:val="00B73992"/>
    <w:rsid w:val="00B7564E"/>
    <w:rsid w:val="00B8027B"/>
    <w:rsid w:val="00B8168A"/>
    <w:rsid w:val="00B9195C"/>
    <w:rsid w:val="00B96CFB"/>
    <w:rsid w:val="00BA4C4E"/>
    <w:rsid w:val="00BB0800"/>
    <w:rsid w:val="00BB145C"/>
    <w:rsid w:val="00BB4A4C"/>
    <w:rsid w:val="00BB5436"/>
    <w:rsid w:val="00BC0157"/>
    <w:rsid w:val="00BC03A2"/>
    <w:rsid w:val="00BC11A9"/>
    <w:rsid w:val="00BC14B7"/>
    <w:rsid w:val="00BC573E"/>
    <w:rsid w:val="00BC5C6C"/>
    <w:rsid w:val="00BC5F96"/>
    <w:rsid w:val="00BC711B"/>
    <w:rsid w:val="00BD01E7"/>
    <w:rsid w:val="00BD6581"/>
    <w:rsid w:val="00BD68F3"/>
    <w:rsid w:val="00BD6B7E"/>
    <w:rsid w:val="00BD7FB3"/>
    <w:rsid w:val="00BE4DDC"/>
    <w:rsid w:val="00BF2B78"/>
    <w:rsid w:val="00BF2D5E"/>
    <w:rsid w:val="00BF7C01"/>
    <w:rsid w:val="00C001BD"/>
    <w:rsid w:val="00C06319"/>
    <w:rsid w:val="00C10BFB"/>
    <w:rsid w:val="00C12010"/>
    <w:rsid w:val="00C14219"/>
    <w:rsid w:val="00C22C7F"/>
    <w:rsid w:val="00C23934"/>
    <w:rsid w:val="00C25CFD"/>
    <w:rsid w:val="00C357A6"/>
    <w:rsid w:val="00C365B4"/>
    <w:rsid w:val="00C402C4"/>
    <w:rsid w:val="00C43089"/>
    <w:rsid w:val="00C43D34"/>
    <w:rsid w:val="00C4658E"/>
    <w:rsid w:val="00C540FF"/>
    <w:rsid w:val="00C70FC8"/>
    <w:rsid w:val="00C75229"/>
    <w:rsid w:val="00C83506"/>
    <w:rsid w:val="00C86723"/>
    <w:rsid w:val="00C86984"/>
    <w:rsid w:val="00C9156B"/>
    <w:rsid w:val="00C915BC"/>
    <w:rsid w:val="00C92519"/>
    <w:rsid w:val="00C9392E"/>
    <w:rsid w:val="00C96443"/>
    <w:rsid w:val="00C97681"/>
    <w:rsid w:val="00CA19CD"/>
    <w:rsid w:val="00CA67A8"/>
    <w:rsid w:val="00CC2A24"/>
    <w:rsid w:val="00CD03AF"/>
    <w:rsid w:val="00CD7055"/>
    <w:rsid w:val="00CE3848"/>
    <w:rsid w:val="00CF647C"/>
    <w:rsid w:val="00CF6C85"/>
    <w:rsid w:val="00D00CDF"/>
    <w:rsid w:val="00D00D33"/>
    <w:rsid w:val="00D04DEC"/>
    <w:rsid w:val="00D11681"/>
    <w:rsid w:val="00D1742A"/>
    <w:rsid w:val="00D213A8"/>
    <w:rsid w:val="00D21B77"/>
    <w:rsid w:val="00D22B2B"/>
    <w:rsid w:val="00D52D74"/>
    <w:rsid w:val="00D534F4"/>
    <w:rsid w:val="00D5669E"/>
    <w:rsid w:val="00D62BD8"/>
    <w:rsid w:val="00D759A8"/>
    <w:rsid w:val="00D769DB"/>
    <w:rsid w:val="00D963CC"/>
    <w:rsid w:val="00D968FE"/>
    <w:rsid w:val="00DA29F0"/>
    <w:rsid w:val="00DA431D"/>
    <w:rsid w:val="00DA5961"/>
    <w:rsid w:val="00DB0620"/>
    <w:rsid w:val="00DB2556"/>
    <w:rsid w:val="00DB2EF9"/>
    <w:rsid w:val="00DB77B3"/>
    <w:rsid w:val="00DC06EA"/>
    <w:rsid w:val="00DC1D0B"/>
    <w:rsid w:val="00DC3884"/>
    <w:rsid w:val="00DD2096"/>
    <w:rsid w:val="00DF6856"/>
    <w:rsid w:val="00DF7C54"/>
    <w:rsid w:val="00E01CBC"/>
    <w:rsid w:val="00E057DF"/>
    <w:rsid w:val="00E05FAD"/>
    <w:rsid w:val="00E168C3"/>
    <w:rsid w:val="00E209F2"/>
    <w:rsid w:val="00E23A00"/>
    <w:rsid w:val="00E26CCF"/>
    <w:rsid w:val="00E2754F"/>
    <w:rsid w:val="00E300B5"/>
    <w:rsid w:val="00E30A9B"/>
    <w:rsid w:val="00E3794B"/>
    <w:rsid w:val="00E43CA2"/>
    <w:rsid w:val="00E45265"/>
    <w:rsid w:val="00E54F9E"/>
    <w:rsid w:val="00E62766"/>
    <w:rsid w:val="00E62AFC"/>
    <w:rsid w:val="00E80704"/>
    <w:rsid w:val="00E81EB9"/>
    <w:rsid w:val="00EA3CC2"/>
    <w:rsid w:val="00EB66B1"/>
    <w:rsid w:val="00EC7734"/>
    <w:rsid w:val="00ED0BA3"/>
    <w:rsid w:val="00ED2F63"/>
    <w:rsid w:val="00ED31E0"/>
    <w:rsid w:val="00F028D1"/>
    <w:rsid w:val="00F045E6"/>
    <w:rsid w:val="00F0490A"/>
    <w:rsid w:val="00F1312A"/>
    <w:rsid w:val="00F13B1D"/>
    <w:rsid w:val="00F21AD4"/>
    <w:rsid w:val="00F237AC"/>
    <w:rsid w:val="00F33EB0"/>
    <w:rsid w:val="00F34920"/>
    <w:rsid w:val="00F367F1"/>
    <w:rsid w:val="00F400BC"/>
    <w:rsid w:val="00F419B2"/>
    <w:rsid w:val="00F559E7"/>
    <w:rsid w:val="00F55BB4"/>
    <w:rsid w:val="00F614A5"/>
    <w:rsid w:val="00F62780"/>
    <w:rsid w:val="00F636D9"/>
    <w:rsid w:val="00F660DF"/>
    <w:rsid w:val="00F66F32"/>
    <w:rsid w:val="00F71120"/>
    <w:rsid w:val="00F76087"/>
    <w:rsid w:val="00F763C5"/>
    <w:rsid w:val="00F76E33"/>
    <w:rsid w:val="00F77494"/>
    <w:rsid w:val="00F83899"/>
    <w:rsid w:val="00F95576"/>
    <w:rsid w:val="00FA2E34"/>
    <w:rsid w:val="00FA57CA"/>
    <w:rsid w:val="00FA5A94"/>
    <w:rsid w:val="00FA5CF1"/>
    <w:rsid w:val="00FA76E0"/>
    <w:rsid w:val="00FB0729"/>
    <w:rsid w:val="00FB32ED"/>
    <w:rsid w:val="00FB3425"/>
    <w:rsid w:val="00FB62A2"/>
    <w:rsid w:val="00FC3C86"/>
    <w:rsid w:val="00FC5BB9"/>
    <w:rsid w:val="00FD2071"/>
    <w:rsid w:val="00FD54F3"/>
    <w:rsid w:val="00FE18A9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85811-DFED-406F-ADC5-72FB8663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28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6087"/>
    <w:pPr>
      <w:keepNext/>
      <w:keepLines/>
      <w:spacing w:before="0"/>
      <w:outlineLvl w:val="0"/>
    </w:pPr>
    <w:rPr>
      <w:rFonts w:eastAsiaTheme="majorEastAsia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BF8"/>
    <w:pPr>
      <w:keepNext/>
      <w:keepLines/>
      <w:spacing w:before="0"/>
      <w:outlineLvl w:val="1"/>
    </w:pPr>
    <w:rPr>
      <w:rFonts w:eastAsiaTheme="majorEastAsia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6BF8"/>
    <w:pPr>
      <w:keepNext/>
      <w:keepLines/>
      <w:spacing w:before="240" w:after="120"/>
      <w:outlineLvl w:val="2"/>
    </w:pPr>
    <w:rPr>
      <w:rFonts w:eastAsiaTheme="majorEastAsia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A490B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color w:val="17365D" w:themeColor="text2" w:themeShade="BF"/>
      <w:spacing w:val="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A490B"/>
    <w:rPr>
      <w:rFonts w:eastAsiaTheme="majorEastAsia"/>
      <w:color w:val="17365D" w:themeColor="text2" w:themeShade="BF"/>
      <w:spacing w:val="5"/>
      <w:sz w:val="36"/>
      <w:szCs w:val="3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6087"/>
    <w:rPr>
      <w:rFonts w:eastAsiaTheme="majorEastAsia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BF8"/>
    <w:rPr>
      <w:rFonts w:eastAsiaTheme="majorEastAsia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BF8"/>
    <w:rPr>
      <w:rFonts w:eastAsiaTheme="majorEastAsia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0A18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631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3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3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7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23"/>
  </w:style>
  <w:style w:type="paragraph" w:styleId="Footer">
    <w:name w:val="footer"/>
    <w:basedOn w:val="Normal"/>
    <w:link w:val="FooterChar"/>
    <w:uiPriority w:val="99"/>
    <w:unhideWhenUsed/>
    <w:rsid w:val="00C867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23"/>
  </w:style>
  <w:style w:type="character" w:styleId="CommentReference">
    <w:name w:val="annotation reference"/>
    <w:basedOn w:val="DefaultParagraphFont"/>
    <w:uiPriority w:val="99"/>
    <w:semiHidden/>
    <w:unhideWhenUsed/>
    <w:rsid w:val="0056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A64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158C2"/>
    <w:pPr>
      <w:spacing w:before="0" w:line="240" w:lineRule="auto"/>
    </w:pPr>
    <w:rPr>
      <w:rFonts w:ascii="Times New Roman" w:hAnsi="Times New Roman" w:cs="Times New Roman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364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648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3648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3648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26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ality@leeds.ac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97B0-1035-4284-B2E4-B12381440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63274-3A8E-4B9F-AE6F-8BEB4C1C8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A8FC8-163A-4618-A725-4CCF9EFD6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C5EFE0-92A0-406A-806D-4BA0FD79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Turnpenny</dc:creator>
  <cp:keywords/>
  <dc:description/>
  <cp:lastModifiedBy>Claire Keeble</cp:lastModifiedBy>
  <cp:revision>142</cp:revision>
  <cp:lastPrinted>2019-01-18T14:15:00Z</cp:lastPrinted>
  <dcterms:created xsi:type="dcterms:W3CDTF">2021-01-27T23:43:00Z</dcterms:created>
  <dcterms:modified xsi:type="dcterms:W3CDTF">2021-01-29T00:44:00Z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