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Pr="00616673" w:rsidRDefault="00DE7B58" w:rsidP="00E13914">
      <w:pPr>
        <w:pStyle w:val="Heading1"/>
      </w:pPr>
      <w:bookmarkStart w:id="0" w:name="_Toc56594236"/>
      <w:bookmarkStart w:id="1" w:name="_Toc62751143"/>
      <w:r w:rsidRPr="00616673">
        <w:t>University of Leeds</w:t>
      </w:r>
      <w:r w:rsidR="00EE2F0C" w:rsidRPr="00616673">
        <w:t xml:space="preserve"> – Academic</w:t>
      </w:r>
      <w:r w:rsidR="00EE2F0C" w:rsidRPr="00616673">
        <w:rPr>
          <w:rStyle w:val="FootnoteReference"/>
          <w:rFonts w:cs="Arial"/>
          <w:sz w:val="36"/>
          <w:szCs w:val="36"/>
        </w:rPr>
        <w:footnoteReference w:id="1"/>
      </w:r>
      <w:r w:rsidR="00EE2F0C" w:rsidRPr="00616673">
        <w:t xml:space="preserve"> staff r</w:t>
      </w:r>
      <w:r w:rsidR="0070245F" w:rsidRPr="00616673">
        <w:t xml:space="preserve">ecruitment </w:t>
      </w:r>
      <w:r w:rsidRPr="00616673">
        <w:t xml:space="preserve">data </w:t>
      </w:r>
      <w:r w:rsidR="00313A18" w:rsidRPr="00616673">
        <w:t>1 August 201</w:t>
      </w:r>
      <w:r w:rsidR="004377EA">
        <w:t>9</w:t>
      </w:r>
      <w:r w:rsidRPr="00616673">
        <w:t xml:space="preserve"> – 31 July </w:t>
      </w:r>
      <w:r w:rsidR="00313A18" w:rsidRPr="00616673">
        <w:t>20</w:t>
      </w:r>
      <w:r w:rsidR="004377EA">
        <w:t>20</w:t>
      </w:r>
      <w:bookmarkEnd w:id="0"/>
      <w:bookmarkEnd w:id="1"/>
    </w:p>
    <w:p w:rsidR="00E13914" w:rsidRDefault="00E13914" w:rsidP="00887C57">
      <w:pPr>
        <w:spacing w:after="0" w:line="240" w:lineRule="auto"/>
        <w:rPr>
          <w:rFonts w:cs="Arial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686274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13914" w:rsidRPr="00E13914" w:rsidRDefault="00E1391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E13914">
            <w:rPr>
              <w:rFonts w:ascii="Arial" w:hAnsi="Arial" w:cs="Arial"/>
              <w:b/>
              <w:color w:val="auto"/>
            </w:rPr>
            <w:t>Contents</w:t>
          </w:r>
        </w:p>
        <w:p w:rsidR="00845F08" w:rsidRDefault="00E1391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51143" w:history="1"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_Toc62751143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1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4" w:history="1">
            <w:r w:rsidRPr="00453AD3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5" w:history="1">
            <w:r w:rsidRPr="00453AD3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6" w:history="1">
            <w:r w:rsidRPr="00453AD3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7" w:history="1">
            <w:r w:rsidRPr="00453AD3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8" w:history="1">
            <w:r w:rsidRPr="00453AD3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9" w:history="1">
            <w:r w:rsidRPr="00453AD3">
              <w:rPr>
                <w:rStyle w:val="Hyperlink"/>
                <w:noProof/>
              </w:rPr>
              <w:t>Gender reassignment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0" w:history="1">
            <w:r w:rsidRPr="00453AD3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F08" w:rsidRDefault="00845F08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1" w:history="1">
            <w:r w:rsidRPr="00453AD3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914" w:rsidRDefault="00E13914">
          <w:r>
            <w:rPr>
              <w:b/>
              <w:bCs/>
              <w:noProof/>
            </w:rPr>
            <w:fldChar w:fldCharType="end"/>
          </w:r>
        </w:p>
      </w:sdtContent>
    </w:sdt>
    <w:p w:rsidR="00E13914" w:rsidRDefault="00E13914" w:rsidP="00887C57">
      <w:pPr>
        <w:spacing w:after="0" w:line="240" w:lineRule="auto"/>
        <w:rPr>
          <w:rFonts w:cs="Arial"/>
          <w:szCs w:val="24"/>
        </w:rPr>
      </w:pPr>
    </w:p>
    <w:p w:rsidR="00E13914" w:rsidRDefault="00E13914" w:rsidP="00E13914">
      <w:pPr>
        <w:pStyle w:val="Heading2"/>
      </w:pPr>
      <w:bookmarkStart w:id="2" w:name="_Toc62751144"/>
      <w:r>
        <w:t>Introduction</w:t>
      </w:r>
      <w:bookmarkEnd w:id="2"/>
    </w:p>
    <w:p w:rsidR="00E13914" w:rsidRDefault="00E13914" w:rsidP="00887C57">
      <w:pPr>
        <w:spacing w:after="0" w:line="240" w:lineRule="auto"/>
        <w:rPr>
          <w:rFonts w:cs="Arial"/>
          <w:szCs w:val="24"/>
        </w:rPr>
      </w:pPr>
    </w:p>
    <w:p w:rsidR="00EE17DD" w:rsidRDefault="008D3AC8" w:rsidP="00E13914">
      <w:pPr>
        <w:spacing w:line="360" w:lineRule="auto"/>
      </w:pPr>
      <w:r w:rsidRPr="000C2E49">
        <w:t xml:space="preserve">The following information provides </w:t>
      </w:r>
      <w:r w:rsidR="00EE2F0C" w:rsidRPr="000C2E49">
        <w:t>academic staff</w:t>
      </w:r>
      <w:r w:rsidRPr="000C2E49">
        <w:t xml:space="preserve"> recruitment data </w:t>
      </w:r>
      <w:r w:rsidR="00850E15" w:rsidRPr="000C2E49">
        <w:t xml:space="preserve">for the period </w:t>
      </w:r>
      <w:r w:rsidR="00313A18" w:rsidRPr="000C2E49">
        <w:t>August 201</w:t>
      </w:r>
      <w:r w:rsidR="002A5628">
        <w:t>9</w:t>
      </w:r>
      <w:r w:rsidR="00313A18" w:rsidRPr="000C2E49">
        <w:t xml:space="preserve"> – July 20</w:t>
      </w:r>
      <w:r w:rsidR="002A5628">
        <w:t>20</w:t>
      </w:r>
      <w:r w:rsidR="00760BA7" w:rsidRPr="000C2E49">
        <w:t xml:space="preserve">. </w:t>
      </w:r>
      <w:r w:rsidR="00385153">
        <w:t>The data are</w:t>
      </w:r>
      <w:r w:rsidR="000C2E49">
        <w:t xml:space="preserve"> provided by the following protected characteristics: caring responsibilit</w:t>
      </w:r>
      <w:r w:rsidR="002A5628">
        <w:t>ies</w:t>
      </w:r>
      <w:r w:rsidR="000C2E49">
        <w:t>; disability; et</w:t>
      </w:r>
      <w:r w:rsidR="00EA2C23">
        <w:t>hnicity; gender; gender reassignment</w:t>
      </w:r>
      <w:r w:rsidR="000C2E49">
        <w:t>; religio</w:t>
      </w:r>
      <w:r w:rsidR="00AD2C2D">
        <w:t>n or</w:t>
      </w:r>
      <w:r w:rsidR="000C2E49">
        <w:t xml:space="preserve"> belief</w:t>
      </w:r>
      <w:r w:rsidR="00AD2C2D">
        <w:t>;</w:t>
      </w:r>
      <w:r w:rsidR="000C2E49">
        <w:t xml:space="preserve"> and sexual orientation. For each protected characteristic, t</w:t>
      </w:r>
      <w:r w:rsidR="00760BA7" w:rsidRPr="000C2E49">
        <w:t>h</w:t>
      </w:r>
      <w:r w:rsidR="00385153">
        <w:t>e data are</w:t>
      </w:r>
      <w:r w:rsidR="00EE17DD" w:rsidRPr="000C2E49">
        <w:t xml:space="preserve"> </w:t>
      </w:r>
      <w:r w:rsidR="00616673">
        <w:t>broken down</w:t>
      </w:r>
      <w:r w:rsidR="00EE17DD" w:rsidRPr="000C2E49">
        <w:t xml:space="preserve"> </w:t>
      </w:r>
      <w:r w:rsidR="00616673">
        <w:t xml:space="preserve">by the following three stages of the University’s recruitment </w:t>
      </w:r>
      <w:r w:rsidR="00AD572D">
        <w:t>process</w:t>
      </w:r>
      <w:r w:rsidR="00616673">
        <w:t>:</w:t>
      </w:r>
      <w:r w:rsidR="001B37D5" w:rsidRPr="000C2E49">
        <w:t xml:space="preserve"> application</w:t>
      </w:r>
      <w:r w:rsidR="00616673">
        <w:t>; interview;</w:t>
      </w:r>
      <w:r w:rsidR="001B37D5" w:rsidRPr="000C2E49">
        <w:t xml:space="preserve"> and </w:t>
      </w:r>
      <w:r w:rsidR="006562D9">
        <w:t>appointment</w:t>
      </w:r>
      <w:r w:rsidR="00616673">
        <w:t>.</w:t>
      </w:r>
    </w:p>
    <w:p w:rsidR="00BB6D17" w:rsidRPr="000C2E49" w:rsidRDefault="00385153" w:rsidP="00E13914">
      <w:pPr>
        <w:spacing w:line="360" w:lineRule="auto"/>
      </w:pPr>
      <w:r>
        <w:t>During the period August 201</w:t>
      </w:r>
      <w:r w:rsidR="002A5628">
        <w:t xml:space="preserve">9 </w:t>
      </w:r>
      <w:r>
        <w:t>- July 20</w:t>
      </w:r>
      <w:r w:rsidR="002A5628">
        <w:t>20</w:t>
      </w:r>
      <w:r w:rsidR="005D4AA5">
        <w:t>, 1</w:t>
      </w:r>
      <w:r w:rsidR="002A5628">
        <w:t>0</w:t>
      </w:r>
      <w:r w:rsidR="005D4AA5">
        <w:t>,66</w:t>
      </w:r>
      <w:r w:rsidR="002A5628">
        <w:t>1</w:t>
      </w:r>
      <w:r w:rsidR="00B71E9D">
        <w:t xml:space="preserve"> applications were received for academic </w:t>
      </w:r>
      <w:r w:rsidR="00195F39">
        <w:t>positions at the University of Leeds</w:t>
      </w:r>
      <w:r w:rsidR="00B71E9D">
        <w:t>. Of these applica</w:t>
      </w:r>
      <w:r w:rsidR="005D4AA5">
        <w:t xml:space="preserve">nts </w:t>
      </w:r>
      <w:r w:rsidR="002A5628">
        <w:t>1</w:t>
      </w:r>
      <w:r w:rsidR="005D4AA5">
        <w:t>,</w:t>
      </w:r>
      <w:r w:rsidR="002A5628">
        <w:t>619</w:t>
      </w:r>
      <w:r w:rsidR="00B71E9D">
        <w:t xml:space="preserve"> were interviewed</w:t>
      </w:r>
      <w:r w:rsidR="005D4AA5">
        <w:t xml:space="preserve"> and </w:t>
      </w:r>
      <w:r w:rsidR="002A5628">
        <w:t>427</w:t>
      </w:r>
      <w:r w:rsidR="00562A6C">
        <w:t xml:space="preserve"> were </w:t>
      </w:r>
      <w:r w:rsidR="006562D9">
        <w:t>appointed</w:t>
      </w:r>
      <w:r w:rsidR="00562A6C">
        <w:t>.</w:t>
      </w:r>
    </w:p>
    <w:p w:rsidR="0058218E" w:rsidRPr="000C2E49" w:rsidRDefault="003C40F8" w:rsidP="00E13914">
      <w:pPr>
        <w:spacing w:line="360" w:lineRule="auto"/>
        <w:rPr>
          <w:b/>
        </w:rPr>
      </w:pPr>
      <w:r>
        <w:rPr>
          <w:b/>
          <w:i/>
        </w:rPr>
        <w:t>Data are</w:t>
      </w:r>
      <w:r w:rsidR="0058218E" w:rsidRPr="000C2E49">
        <w:rPr>
          <w:b/>
          <w:i/>
        </w:rPr>
        <w:t xml:space="preserve"> rounded to the nearest whole percent</w:t>
      </w:r>
      <w:r w:rsidR="00761A9C" w:rsidRPr="000C2E49">
        <w:rPr>
          <w:b/>
          <w:i/>
        </w:rPr>
        <w:t xml:space="preserve"> and therefore may not always total 100%</w:t>
      </w:r>
      <w:r w:rsidR="0058218E" w:rsidRPr="000C2E49">
        <w:rPr>
          <w:b/>
          <w:i/>
        </w:rPr>
        <w:t>.</w:t>
      </w:r>
    </w:p>
    <w:p w:rsidR="00BB6D17" w:rsidRPr="00850E15" w:rsidRDefault="00BB6D17" w:rsidP="00E13914">
      <w:pPr>
        <w:spacing w:line="360" w:lineRule="auto"/>
        <w:rPr>
          <w:b/>
        </w:rPr>
      </w:pPr>
    </w:p>
    <w:p w:rsidR="00761A9C" w:rsidRPr="00195F39" w:rsidRDefault="00761A9C" w:rsidP="00E13914">
      <w:pPr>
        <w:pStyle w:val="Heading2"/>
      </w:pPr>
      <w:bookmarkStart w:id="3" w:name="_Toc62751145"/>
      <w:r w:rsidRPr="00195F39">
        <w:lastRenderedPageBreak/>
        <w:t>Caring responsibilities</w:t>
      </w:r>
      <w:r w:rsidRPr="00195F3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  <w:r w:rsidRPr="00195F39">
        <w:t xml:space="preserve">  </w:t>
      </w:r>
    </w:p>
    <w:p w:rsidR="001B37D5" w:rsidRDefault="00C77116" w:rsidP="00E13914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266176BD" wp14:editId="31A05775">
            <wp:extent cx="6057900" cy="31718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Caring Responsiblities"/>
        <w:tblDescription w:val="Table showing the percentage of academic staff recruitment applicants, interviewed and appointed) by caring responsibilities in 2018-19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616673" w:rsidRPr="00616673" w:rsidTr="00E13914">
        <w:trPr>
          <w:trHeight w:val="9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Prefer not to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616673" w:rsidRPr="00616673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D34869">
              <w:rPr>
                <w:rFonts w:eastAsia="Times New Roman"/>
                <w:color w:val="000000"/>
                <w:lang w:eastAsia="en-GB"/>
              </w:rPr>
              <w:t>6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69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616673">
              <w:rPr>
                <w:rFonts w:eastAsia="Times New Roman"/>
                <w:color w:val="000000"/>
                <w:lang w:eastAsia="en-GB"/>
              </w:rPr>
              <w:t>5%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616673" w:rsidRPr="00616673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D34869"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61667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616673">
              <w:rPr>
                <w:rFonts w:eastAsia="Times New Roman"/>
                <w:color w:val="000000"/>
                <w:lang w:eastAsia="en-GB"/>
              </w:rPr>
              <w:t>71%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616673" w:rsidRPr="00616673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9174E6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D34869">
              <w:rPr>
                <w:rFonts w:eastAsia="Times New Roman"/>
                <w:color w:val="000000"/>
                <w:lang w:eastAsia="en-GB"/>
              </w:rPr>
              <w:t>2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  <w:r w:rsidR="00D34869">
              <w:rPr>
                <w:rFonts w:eastAsia="Times New Roman"/>
                <w:color w:val="000000"/>
                <w:lang w:eastAsia="en-GB"/>
              </w:rPr>
              <w:t>2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</w:tbl>
    <w:p w:rsidR="00616673" w:rsidRDefault="00616673" w:rsidP="00E13914">
      <w:pPr>
        <w:spacing w:line="360" w:lineRule="auto"/>
        <w:rPr>
          <w:b/>
        </w:rPr>
      </w:pPr>
    </w:p>
    <w:p w:rsidR="00B8665E" w:rsidRPr="00E13914" w:rsidRDefault="001B37D5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:rsidR="004B3267" w:rsidRDefault="009174E6" w:rsidP="00E13914">
      <w:pPr>
        <w:spacing w:line="360" w:lineRule="auto"/>
        <w:rPr>
          <w:szCs w:val="24"/>
        </w:rPr>
      </w:pPr>
      <w:r w:rsidRPr="00262420">
        <w:rPr>
          <w:szCs w:val="24"/>
        </w:rPr>
        <w:t xml:space="preserve">During the </w:t>
      </w:r>
      <w:r w:rsidR="008F4269">
        <w:rPr>
          <w:szCs w:val="24"/>
        </w:rPr>
        <w:t>201</w:t>
      </w:r>
      <w:r w:rsidR="00290FC5">
        <w:rPr>
          <w:szCs w:val="24"/>
        </w:rPr>
        <w:t>9</w:t>
      </w:r>
      <w:r w:rsidR="008F4269">
        <w:rPr>
          <w:szCs w:val="24"/>
        </w:rPr>
        <w:t>-</w:t>
      </w:r>
      <w:r w:rsidR="00290FC5">
        <w:rPr>
          <w:szCs w:val="24"/>
        </w:rPr>
        <w:t>20</w:t>
      </w:r>
      <w:r w:rsidR="00F815A8" w:rsidRPr="00262420">
        <w:rPr>
          <w:szCs w:val="24"/>
        </w:rPr>
        <w:t xml:space="preserve"> </w:t>
      </w:r>
      <w:r w:rsidRPr="00262420">
        <w:rPr>
          <w:szCs w:val="24"/>
        </w:rPr>
        <w:t>academic year</w:t>
      </w:r>
      <w:r w:rsidR="008F4269">
        <w:rPr>
          <w:szCs w:val="24"/>
        </w:rPr>
        <w:t>,</w:t>
      </w:r>
      <w:r w:rsidRPr="00262420">
        <w:rPr>
          <w:szCs w:val="24"/>
        </w:rPr>
        <w:t xml:space="preserve"> </w:t>
      </w:r>
      <w:r w:rsidR="00475090" w:rsidRPr="00262420">
        <w:rPr>
          <w:szCs w:val="24"/>
        </w:rPr>
        <w:t>2</w:t>
      </w:r>
      <w:r w:rsidR="007B590A">
        <w:rPr>
          <w:szCs w:val="24"/>
        </w:rPr>
        <w:t>6</w:t>
      </w:r>
      <w:r w:rsidR="002A29AC" w:rsidRPr="00262420">
        <w:rPr>
          <w:szCs w:val="24"/>
        </w:rPr>
        <w:t xml:space="preserve">% of </w:t>
      </w:r>
      <w:r w:rsidRPr="00262420">
        <w:rPr>
          <w:szCs w:val="24"/>
        </w:rPr>
        <w:t xml:space="preserve">academic </w:t>
      </w:r>
      <w:r w:rsidR="002A29AC" w:rsidRPr="00262420">
        <w:rPr>
          <w:b/>
          <w:szCs w:val="24"/>
        </w:rPr>
        <w:t>applicants</w:t>
      </w:r>
      <w:r w:rsidR="00475090" w:rsidRPr="00262420">
        <w:rPr>
          <w:b/>
          <w:szCs w:val="24"/>
        </w:rPr>
        <w:t xml:space="preserve"> </w:t>
      </w:r>
      <w:r w:rsidR="008F4269">
        <w:rPr>
          <w:szCs w:val="24"/>
        </w:rPr>
        <w:t>(2</w:t>
      </w:r>
      <w:r w:rsidR="00290FC5">
        <w:rPr>
          <w:szCs w:val="24"/>
        </w:rPr>
        <w:t>5</w:t>
      </w:r>
      <w:r w:rsidR="00DD295F" w:rsidRPr="00262420">
        <w:rPr>
          <w:szCs w:val="24"/>
        </w:rPr>
        <w:t>%, 201</w:t>
      </w:r>
      <w:r w:rsidR="00290FC5">
        <w:rPr>
          <w:szCs w:val="24"/>
        </w:rPr>
        <w:t>8</w:t>
      </w:r>
      <w:r w:rsidR="00DD295F" w:rsidRPr="00262420">
        <w:rPr>
          <w:szCs w:val="24"/>
        </w:rPr>
        <w:t>-1</w:t>
      </w:r>
      <w:r w:rsidR="00290FC5">
        <w:rPr>
          <w:szCs w:val="24"/>
        </w:rPr>
        <w:t>9</w:t>
      </w:r>
      <w:r w:rsidR="00475090" w:rsidRPr="00262420">
        <w:rPr>
          <w:szCs w:val="24"/>
        </w:rPr>
        <w:t>)</w:t>
      </w:r>
      <w:r w:rsidR="008F4269">
        <w:rPr>
          <w:szCs w:val="24"/>
        </w:rPr>
        <w:t>, 2</w:t>
      </w:r>
      <w:r w:rsidR="007B590A">
        <w:rPr>
          <w:szCs w:val="24"/>
        </w:rPr>
        <w:t>3</w:t>
      </w:r>
      <w:r w:rsidRPr="00262420">
        <w:rPr>
          <w:szCs w:val="24"/>
        </w:rPr>
        <w:t xml:space="preserve">% of academic </w:t>
      </w:r>
      <w:r w:rsidRPr="00262420">
        <w:rPr>
          <w:b/>
          <w:szCs w:val="24"/>
        </w:rPr>
        <w:t>interviewees</w:t>
      </w:r>
      <w:r w:rsidR="008F4269">
        <w:rPr>
          <w:szCs w:val="24"/>
        </w:rPr>
        <w:t xml:space="preserve"> (2</w:t>
      </w:r>
      <w:r w:rsidR="00290FC5">
        <w:rPr>
          <w:szCs w:val="24"/>
        </w:rPr>
        <w:t>4</w:t>
      </w:r>
      <w:r w:rsidR="008F4269">
        <w:rPr>
          <w:szCs w:val="24"/>
        </w:rPr>
        <w:t>%, 201</w:t>
      </w:r>
      <w:r w:rsidR="00290FC5">
        <w:rPr>
          <w:szCs w:val="24"/>
        </w:rPr>
        <w:t>8</w:t>
      </w:r>
      <w:r w:rsidR="008F4269">
        <w:rPr>
          <w:szCs w:val="24"/>
        </w:rPr>
        <w:t>-1</w:t>
      </w:r>
      <w:r w:rsidR="00290FC5">
        <w:rPr>
          <w:szCs w:val="24"/>
        </w:rPr>
        <w:t>9</w:t>
      </w:r>
      <w:r w:rsidRPr="00262420">
        <w:rPr>
          <w:szCs w:val="24"/>
        </w:rPr>
        <w:t>)</w:t>
      </w:r>
      <w:r w:rsidR="002A29AC" w:rsidRPr="00262420">
        <w:rPr>
          <w:szCs w:val="24"/>
        </w:rPr>
        <w:t xml:space="preserve"> and </w:t>
      </w:r>
      <w:r w:rsidR="008F4269">
        <w:rPr>
          <w:szCs w:val="24"/>
        </w:rPr>
        <w:t>2</w:t>
      </w:r>
      <w:r w:rsidR="007B590A">
        <w:rPr>
          <w:szCs w:val="24"/>
        </w:rPr>
        <w:t>2</w:t>
      </w:r>
      <w:r w:rsidR="001B37D5" w:rsidRPr="00262420">
        <w:rPr>
          <w:szCs w:val="24"/>
        </w:rPr>
        <w:t xml:space="preserve">% of those </w:t>
      </w:r>
      <w:r w:rsidR="001B37D5" w:rsidRPr="00262420">
        <w:rPr>
          <w:b/>
          <w:szCs w:val="24"/>
        </w:rPr>
        <w:t>appointed</w:t>
      </w:r>
      <w:r w:rsidR="00475090" w:rsidRPr="00262420">
        <w:rPr>
          <w:b/>
          <w:szCs w:val="24"/>
        </w:rPr>
        <w:t xml:space="preserve"> </w:t>
      </w:r>
      <w:r w:rsidR="00475090" w:rsidRPr="00262420">
        <w:rPr>
          <w:szCs w:val="24"/>
        </w:rPr>
        <w:t>(</w:t>
      </w:r>
      <w:r w:rsidR="00DD295F" w:rsidRPr="00262420">
        <w:rPr>
          <w:szCs w:val="24"/>
        </w:rPr>
        <w:t>2</w:t>
      </w:r>
      <w:r w:rsidR="00290FC5">
        <w:rPr>
          <w:szCs w:val="24"/>
        </w:rPr>
        <w:t>3</w:t>
      </w:r>
      <w:r w:rsidR="00DD295F" w:rsidRPr="00262420">
        <w:rPr>
          <w:szCs w:val="24"/>
        </w:rPr>
        <w:t>%, 201</w:t>
      </w:r>
      <w:r w:rsidR="00290FC5">
        <w:rPr>
          <w:szCs w:val="24"/>
        </w:rPr>
        <w:t>8</w:t>
      </w:r>
      <w:r w:rsidR="00DD295F" w:rsidRPr="00262420">
        <w:rPr>
          <w:szCs w:val="24"/>
        </w:rPr>
        <w:t>-1</w:t>
      </w:r>
      <w:r w:rsidR="00290FC5">
        <w:rPr>
          <w:szCs w:val="24"/>
        </w:rPr>
        <w:t>9</w:t>
      </w:r>
      <w:r w:rsidR="00475090" w:rsidRPr="00262420">
        <w:rPr>
          <w:szCs w:val="24"/>
        </w:rPr>
        <w:t>)</w:t>
      </w:r>
      <w:r w:rsidR="001B37D5" w:rsidRPr="00262420">
        <w:rPr>
          <w:szCs w:val="24"/>
        </w:rPr>
        <w:t xml:space="preserve"> declared they</w:t>
      </w:r>
      <w:r w:rsidR="00475090" w:rsidRPr="00262420">
        <w:rPr>
          <w:szCs w:val="24"/>
        </w:rPr>
        <w:t xml:space="preserve"> had caring responsibilities. </w:t>
      </w:r>
    </w:p>
    <w:p w:rsidR="00E13914" w:rsidRPr="00262420" w:rsidRDefault="00E13914" w:rsidP="00E13914">
      <w:pPr>
        <w:spacing w:line="720" w:lineRule="auto"/>
        <w:rPr>
          <w:rFonts w:eastAsiaTheme="majorEastAsia"/>
          <w:bCs/>
          <w:szCs w:val="24"/>
        </w:rPr>
      </w:pPr>
    </w:p>
    <w:p w:rsidR="008320AC" w:rsidRDefault="008320AC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0304E3" w:rsidRPr="00850E15" w:rsidRDefault="00784ECD" w:rsidP="00E13914">
      <w:pPr>
        <w:pStyle w:val="Heading2"/>
      </w:pPr>
      <w:bookmarkStart w:id="4" w:name="_Toc62751146"/>
      <w:r w:rsidRPr="009174E6">
        <w:lastRenderedPageBreak/>
        <w:t>Disability</w:t>
      </w:r>
      <w:r w:rsidRPr="00850E15">
        <w:rPr>
          <w:rStyle w:val="FootnoteReference"/>
          <w:rFonts w:cs="Arial"/>
          <w:b w:val="0"/>
        </w:rPr>
        <w:footnoteReference w:id="3"/>
      </w:r>
      <w:bookmarkEnd w:id="4"/>
    </w:p>
    <w:p w:rsidR="00DC7C75" w:rsidRPr="00850E15" w:rsidRDefault="00DC7C75" w:rsidP="00E13914">
      <w:pPr>
        <w:spacing w:after="0" w:line="360" w:lineRule="auto"/>
        <w:rPr>
          <w:rFonts w:cs="Arial"/>
        </w:rPr>
      </w:pPr>
    </w:p>
    <w:p w:rsidR="008D41B1" w:rsidRPr="00850E15" w:rsidRDefault="0022423F" w:rsidP="00E13914">
      <w:pPr>
        <w:spacing w:after="0"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FFF0583" wp14:editId="0F1D42EE">
            <wp:extent cx="6038850" cy="32289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41B1" w:rsidRPr="00850E15" w:rsidRDefault="008D41B1" w:rsidP="00E13914">
      <w:pPr>
        <w:spacing w:after="0" w:line="360" w:lineRule="auto"/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Disability"/>
        <w:tblDescription w:val="Table showing the percentage of academic staff recruitment (applicants, interviewed and appointed) by disability in 2018-19. Categories include yes, no, prefer not to answe and unknown."/>
      </w:tblPr>
      <w:tblGrid>
        <w:gridCol w:w="1925"/>
        <w:gridCol w:w="1925"/>
        <w:gridCol w:w="1926"/>
        <w:gridCol w:w="1926"/>
        <w:gridCol w:w="1926"/>
      </w:tblGrid>
      <w:tr w:rsidR="009174E6" w:rsidRPr="009174E6" w:rsidTr="00E13914">
        <w:trPr>
          <w:trHeight w:val="3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9174E6" w:rsidRPr="009174E6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F568ED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9</w:t>
            </w:r>
            <w:r w:rsidR="00100082">
              <w:rPr>
                <w:rFonts w:eastAsia="Times New Roman" w:cs="Arial"/>
                <w:color w:val="000000"/>
                <w:lang w:eastAsia="en-GB"/>
              </w:rPr>
              <w:t>4</w:t>
            </w:r>
            <w:r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9174E6" w:rsidRPr="009174E6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9</w:t>
            </w:r>
            <w:r w:rsidR="00100082"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F568ED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9174E6" w:rsidRPr="009174E6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88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:rsidR="009174E6" w:rsidRDefault="009174E6" w:rsidP="00E13914">
      <w:pPr>
        <w:spacing w:after="0" w:line="360" w:lineRule="auto"/>
        <w:rPr>
          <w:rFonts w:cs="Arial"/>
          <w:b/>
        </w:rPr>
      </w:pPr>
    </w:p>
    <w:p w:rsidR="009174E6" w:rsidRDefault="009174E6" w:rsidP="00E13914">
      <w:pPr>
        <w:spacing w:after="0" w:line="360" w:lineRule="auto"/>
        <w:rPr>
          <w:rFonts w:cs="Arial"/>
          <w:b/>
        </w:rPr>
      </w:pPr>
    </w:p>
    <w:p w:rsidR="008D41B1" w:rsidRPr="00E13914" w:rsidRDefault="0066136E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:rsidR="0066136E" w:rsidRPr="009174E6" w:rsidRDefault="0066136E" w:rsidP="00E13914">
      <w:pPr>
        <w:spacing w:after="0" w:line="360" w:lineRule="auto"/>
        <w:rPr>
          <w:rFonts w:cs="Arial"/>
          <w:szCs w:val="24"/>
        </w:rPr>
      </w:pPr>
    </w:p>
    <w:p w:rsidR="00BD6BE7" w:rsidRPr="00850E15" w:rsidRDefault="009174E6" w:rsidP="00E13914">
      <w:pPr>
        <w:spacing w:after="0" w:line="360" w:lineRule="auto"/>
        <w:rPr>
          <w:rFonts w:cs="Arial"/>
        </w:rPr>
      </w:pPr>
      <w:r w:rsidRPr="009174E6">
        <w:rPr>
          <w:rFonts w:cs="Arial"/>
          <w:szCs w:val="24"/>
        </w:rPr>
        <w:t xml:space="preserve">During the </w:t>
      </w:r>
      <w:r w:rsidR="00515E9D">
        <w:rPr>
          <w:rFonts w:cs="Arial"/>
          <w:szCs w:val="24"/>
        </w:rPr>
        <w:t>201</w:t>
      </w:r>
      <w:r w:rsidR="00795DE5">
        <w:rPr>
          <w:rFonts w:cs="Arial"/>
          <w:szCs w:val="24"/>
        </w:rPr>
        <w:t>9</w:t>
      </w:r>
      <w:r w:rsidR="00515E9D">
        <w:rPr>
          <w:rFonts w:cs="Arial"/>
          <w:szCs w:val="24"/>
        </w:rPr>
        <w:t>-</w:t>
      </w:r>
      <w:r w:rsidR="00795DE5">
        <w:rPr>
          <w:rFonts w:cs="Arial"/>
          <w:szCs w:val="24"/>
        </w:rPr>
        <w:t>20</w:t>
      </w:r>
      <w:r w:rsidR="00F815A8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academic year </w:t>
      </w:r>
      <w:r w:rsidR="00897EF8">
        <w:rPr>
          <w:rFonts w:cs="Arial"/>
          <w:szCs w:val="24"/>
        </w:rPr>
        <w:t>3</w:t>
      </w:r>
      <w:r w:rsidR="00DC5291" w:rsidRPr="009174E6">
        <w:rPr>
          <w:rFonts w:cs="Arial"/>
          <w:szCs w:val="24"/>
        </w:rPr>
        <w:t xml:space="preserve">% of </w:t>
      </w:r>
      <w:r w:rsidRPr="009174E6">
        <w:rPr>
          <w:rFonts w:cs="Arial"/>
          <w:szCs w:val="24"/>
        </w:rPr>
        <w:t xml:space="preserve">academic </w:t>
      </w:r>
      <w:r w:rsidR="00DC5291" w:rsidRPr="009174E6">
        <w:rPr>
          <w:rFonts w:cs="Arial"/>
          <w:b/>
          <w:szCs w:val="24"/>
        </w:rPr>
        <w:t>applicants</w:t>
      </w:r>
      <w:r w:rsidR="00DC5291" w:rsidRPr="009174E6">
        <w:rPr>
          <w:rFonts w:cs="Arial"/>
          <w:szCs w:val="24"/>
        </w:rPr>
        <w:t xml:space="preserve"> declared a</w:t>
      </w:r>
      <w:r w:rsidR="00BA5A0D" w:rsidRPr="009174E6">
        <w:rPr>
          <w:rFonts w:cs="Arial"/>
          <w:szCs w:val="24"/>
        </w:rPr>
        <w:t xml:space="preserve"> disability (</w:t>
      </w:r>
      <w:r w:rsidR="00795DE5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>%, 201</w:t>
      </w:r>
      <w:r w:rsidR="00795DE5">
        <w:rPr>
          <w:rFonts w:cs="Arial"/>
          <w:szCs w:val="24"/>
        </w:rPr>
        <w:t>8</w:t>
      </w:r>
      <w:r w:rsidR="002D3511">
        <w:rPr>
          <w:rFonts w:cs="Arial"/>
          <w:szCs w:val="24"/>
        </w:rPr>
        <w:t>-1</w:t>
      </w:r>
      <w:r w:rsidR="00795DE5">
        <w:rPr>
          <w:rFonts w:cs="Arial"/>
          <w:szCs w:val="24"/>
        </w:rPr>
        <w:t>9</w:t>
      </w:r>
      <w:r w:rsidRPr="009174E6">
        <w:rPr>
          <w:rFonts w:cs="Arial"/>
          <w:szCs w:val="24"/>
        </w:rPr>
        <w:t xml:space="preserve">), 4% of academic </w:t>
      </w:r>
      <w:r w:rsidRPr="009174E6">
        <w:rPr>
          <w:rFonts w:cs="Arial"/>
          <w:b/>
          <w:szCs w:val="24"/>
        </w:rPr>
        <w:t>interviewees</w:t>
      </w:r>
      <w:r w:rsidRPr="009174E6">
        <w:rPr>
          <w:rFonts w:cs="Arial"/>
          <w:szCs w:val="24"/>
        </w:rPr>
        <w:t xml:space="preserve"> declared a disability (</w:t>
      </w:r>
      <w:r w:rsidR="00515E9D">
        <w:rPr>
          <w:rFonts w:cs="Arial"/>
          <w:szCs w:val="24"/>
        </w:rPr>
        <w:t>4</w:t>
      </w:r>
      <w:r w:rsidR="00DC5291" w:rsidRPr="009174E6">
        <w:rPr>
          <w:rFonts w:cs="Arial"/>
          <w:szCs w:val="24"/>
        </w:rPr>
        <w:t>%</w:t>
      </w:r>
      <w:r w:rsidRPr="009174E6">
        <w:rPr>
          <w:rFonts w:cs="Arial"/>
          <w:szCs w:val="24"/>
        </w:rPr>
        <w:t>,</w:t>
      </w:r>
      <w:r w:rsidR="00CA6856">
        <w:rPr>
          <w:rFonts w:cs="Arial"/>
          <w:szCs w:val="24"/>
        </w:rPr>
        <w:t xml:space="preserve"> </w:t>
      </w:r>
      <w:r w:rsidRPr="009174E6">
        <w:rPr>
          <w:rFonts w:cs="Arial"/>
          <w:szCs w:val="24"/>
        </w:rPr>
        <w:t>201</w:t>
      </w:r>
      <w:r w:rsidR="00795DE5">
        <w:rPr>
          <w:rFonts w:cs="Arial"/>
          <w:szCs w:val="24"/>
        </w:rPr>
        <w:t>8</w:t>
      </w:r>
      <w:r w:rsidR="002D3511">
        <w:rPr>
          <w:rFonts w:cs="Arial"/>
          <w:szCs w:val="24"/>
        </w:rPr>
        <w:t>-1</w:t>
      </w:r>
      <w:r w:rsidR="00795DE5">
        <w:rPr>
          <w:rFonts w:cs="Arial"/>
          <w:szCs w:val="24"/>
        </w:rPr>
        <w:t>9</w:t>
      </w:r>
      <w:r w:rsidRPr="009174E6">
        <w:rPr>
          <w:rFonts w:cs="Arial"/>
          <w:szCs w:val="24"/>
        </w:rPr>
        <w:t>)</w:t>
      </w:r>
      <w:r w:rsidR="00DC5291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and </w:t>
      </w:r>
      <w:r w:rsidR="00100082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 xml:space="preserve">% </w:t>
      </w:r>
      <w:r w:rsidR="00DC5291" w:rsidRPr="009174E6">
        <w:rPr>
          <w:rFonts w:cs="Arial"/>
          <w:szCs w:val="24"/>
        </w:rPr>
        <w:t xml:space="preserve">of those </w:t>
      </w:r>
      <w:r w:rsidR="00DC5291" w:rsidRPr="009174E6">
        <w:rPr>
          <w:rFonts w:cs="Arial"/>
          <w:b/>
          <w:szCs w:val="24"/>
        </w:rPr>
        <w:t>appointed</w:t>
      </w:r>
      <w:r w:rsidRPr="009174E6">
        <w:rPr>
          <w:rFonts w:cs="Arial"/>
          <w:szCs w:val="24"/>
        </w:rPr>
        <w:t xml:space="preserve"> declared a disability (</w:t>
      </w:r>
      <w:r w:rsidR="00795DE5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>%, 201</w:t>
      </w:r>
      <w:r w:rsidR="00795DE5">
        <w:rPr>
          <w:rFonts w:cs="Arial"/>
          <w:szCs w:val="24"/>
        </w:rPr>
        <w:t>8</w:t>
      </w:r>
      <w:r w:rsidR="00BA5A0D" w:rsidRPr="009174E6">
        <w:rPr>
          <w:rFonts w:cs="Arial"/>
          <w:szCs w:val="24"/>
        </w:rPr>
        <w:t>-1</w:t>
      </w:r>
      <w:r w:rsidR="00795DE5">
        <w:rPr>
          <w:rFonts w:cs="Arial"/>
          <w:szCs w:val="24"/>
        </w:rPr>
        <w:t>9</w:t>
      </w:r>
      <w:r w:rsidR="00DC5291" w:rsidRPr="009174E6">
        <w:rPr>
          <w:rFonts w:cs="Arial"/>
          <w:szCs w:val="24"/>
        </w:rPr>
        <w:t>)</w:t>
      </w:r>
      <w:r w:rsidR="00BA5A0D" w:rsidRPr="009174E6">
        <w:rPr>
          <w:rFonts w:cs="Arial"/>
          <w:szCs w:val="24"/>
        </w:rPr>
        <w:t>.</w:t>
      </w:r>
      <w:r w:rsidR="00BD6BE7" w:rsidRPr="00850E15">
        <w:rPr>
          <w:rFonts w:cs="Arial"/>
        </w:rPr>
        <w:br w:type="page"/>
      </w:r>
    </w:p>
    <w:p w:rsidR="001366A6" w:rsidRPr="00845DDE" w:rsidRDefault="00DE7B58" w:rsidP="00E13914">
      <w:pPr>
        <w:pStyle w:val="Heading2"/>
      </w:pPr>
      <w:bookmarkStart w:id="5" w:name="_Toc62751147"/>
      <w:r w:rsidRPr="00845DDE">
        <w:lastRenderedPageBreak/>
        <w:t>Ethnicity</w:t>
      </w:r>
      <w:bookmarkEnd w:id="5"/>
      <w:r w:rsidRPr="00845DDE">
        <w:t xml:space="preserve"> </w:t>
      </w:r>
    </w:p>
    <w:p w:rsidR="009C6B09" w:rsidRDefault="009C6B09" w:rsidP="00E13914">
      <w:pPr>
        <w:spacing w:after="0" w:line="360" w:lineRule="auto"/>
        <w:rPr>
          <w:rFonts w:cs="Arial"/>
        </w:rPr>
      </w:pPr>
    </w:p>
    <w:p w:rsidR="00D2319A" w:rsidRDefault="005D3EFE" w:rsidP="00E13914">
      <w:pPr>
        <w:spacing w:after="0"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1409DA4" wp14:editId="67E98E14">
            <wp:extent cx="6029325" cy="33623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319A" w:rsidRDefault="00D2319A" w:rsidP="00E13914">
      <w:pPr>
        <w:spacing w:after="0" w:line="360" w:lineRule="auto"/>
        <w:rPr>
          <w:rFonts w:cs="Arial"/>
        </w:rPr>
      </w:pPr>
    </w:p>
    <w:p w:rsidR="00D2319A" w:rsidRPr="00850E15" w:rsidRDefault="00D2319A" w:rsidP="00E13914">
      <w:pPr>
        <w:spacing w:after="0" w:line="360" w:lineRule="auto"/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Ethnicity"/>
        <w:tblDescription w:val="Table showing the percentage of academic staff recruitment (applicants, interviewed and appointed) by ethnicity in 2018-19. Categories include White, BME, Prefer not to Answe and Unknown."/>
      </w:tblPr>
      <w:tblGrid>
        <w:gridCol w:w="1555"/>
        <w:gridCol w:w="992"/>
        <w:gridCol w:w="992"/>
        <w:gridCol w:w="992"/>
        <w:gridCol w:w="1132"/>
        <w:gridCol w:w="994"/>
        <w:gridCol w:w="1560"/>
        <w:gridCol w:w="1411"/>
      </w:tblGrid>
      <w:tr w:rsidR="00D40746" w:rsidRPr="00D2319A" w:rsidTr="00A4000E">
        <w:trPr>
          <w:trHeight w:val="300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lack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Asian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Mixed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D40746" w:rsidRPr="00D2319A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38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35%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D40746" w:rsidRPr="00D2319A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57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D40746" w:rsidRPr="00D2319A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64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746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:rsidR="008D41B1" w:rsidRPr="00850E15" w:rsidRDefault="008D41B1" w:rsidP="00E13914">
      <w:pPr>
        <w:spacing w:after="0" w:line="360" w:lineRule="auto"/>
        <w:rPr>
          <w:rFonts w:cs="Arial"/>
        </w:rPr>
      </w:pPr>
    </w:p>
    <w:p w:rsidR="00782DA7" w:rsidRPr="00E13914" w:rsidRDefault="00782DA7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:rsidR="00782DA7" w:rsidRPr="00262420" w:rsidRDefault="00782DA7" w:rsidP="00E13914">
      <w:pPr>
        <w:spacing w:line="360" w:lineRule="auto"/>
        <w:contextualSpacing/>
        <w:rPr>
          <w:rFonts w:cs="Arial"/>
          <w:szCs w:val="24"/>
        </w:rPr>
      </w:pPr>
    </w:p>
    <w:p w:rsidR="009C6B09" w:rsidRPr="00262420" w:rsidRDefault="00262420" w:rsidP="00E13914">
      <w:pPr>
        <w:spacing w:line="360" w:lineRule="auto"/>
        <w:contextualSpacing/>
        <w:rPr>
          <w:rFonts w:cs="Arial"/>
          <w:szCs w:val="24"/>
        </w:rPr>
      </w:pPr>
      <w:r w:rsidRPr="009174E6">
        <w:rPr>
          <w:rFonts w:cs="Arial"/>
          <w:szCs w:val="24"/>
        </w:rPr>
        <w:t>During the</w:t>
      </w:r>
      <w:r w:rsidR="00F815A8">
        <w:rPr>
          <w:rFonts w:cs="Arial"/>
          <w:szCs w:val="24"/>
        </w:rPr>
        <w:t xml:space="preserve"> </w:t>
      </w:r>
      <w:r w:rsidR="00F815A8" w:rsidRPr="009174E6">
        <w:rPr>
          <w:rFonts w:cs="Arial"/>
          <w:szCs w:val="24"/>
        </w:rPr>
        <w:t>201</w:t>
      </w:r>
      <w:r w:rsidR="001E4805">
        <w:rPr>
          <w:rFonts w:cs="Arial"/>
          <w:szCs w:val="24"/>
        </w:rPr>
        <w:t>9</w:t>
      </w:r>
      <w:r w:rsidR="00984C67">
        <w:rPr>
          <w:rFonts w:cs="Arial"/>
          <w:szCs w:val="24"/>
        </w:rPr>
        <w:t>-</w:t>
      </w:r>
      <w:r w:rsidR="001E4805">
        <w:rPr>
          <w:rFonts w:cs="Arial"/>
          <w:szCs w:val="24"/>
        </w:rPr>
        <w:t>20</w:t>
      </w:r>
      <w:r w:rsidR="00F815A8">
        <w:rPr>
          <w:rFonts w:cs="Arial"/>
          <w:szCs w:val="24"/>
        </w:rPr>
        <w:t xml:space="preserve"> </w:t>
      </w:r>
      <w:r w:rsidRPr="009174E6">
        <w:rPr>
          <w:rFonts w:cs="Arial"/>
          <w:szCs w:val="24"/>
        </w:rPr>
        <w:t xml:space="preserve">academic year </w:t>
      </w:r>
      <w:r w:rsidR="00984C67">
        <w:rPr>
          <w:rFonts w:cs="Arial"/>
          <w:szCs w:val="24"/>
        </w:rPr>
        <w:t>5</w:t>
      </w:r>
      <w:r w:rsidR="00D91A5E">
        <w:rPr>
          <w:rFonts w:cs="Arial"/>
          <w:szCs w:val="24"/>
        </w:rPr>
        <w:t>6</w:t>
      </w:r>
      <w:r w:rsidR="00782DA7" w:rsidRPr="00262420">
        <w:rPr>
          <w:rFonts w:cs="Arial"/>
          <w:szCs w:val="24"/>
        </w:rPr>
        <w:t>% of</w:t>
      </w:r>
      <w:r w:rsidR="00782DA7" w:rsidRPr="00262420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academic </w:t>
      </w:r>
      <w:r w:rsidR="00782DA7" w:rsidRPr="00262420">
        <w:rPr>
          <w:rFonts w:cs="Arial"/>
          <w:b/>
          <w:szCs w:val="24"/>
        </w:rPr>
        <w:t>applicants</w:t>
      </w:r>
      <w:r w:rsidR="00782DA7" w:rsidRPr="00262420">
        <w:rPr>
          <w:rFonts w:cs="Arial"/>
          <w:szCs w:val="24"/>
        </w:rPr>
        <w:t xml:space="preserve"> </w:t>
      </w:r>
      <w:r w:rsidRPr="00262420">
        <w:rPr>
          <w:rFonts w:cs="Arial"/>
          <w:szCs w:val="24"/>
        </w:rPr>
        <w:t>(</w:t>
      </w:r>
      <w:r w:rsidR="001E4805">
        <w:rPr>
          <w:rFonts w:cs="Arial"/>
          <w:szCs w:val="24"/>
        </w:rPr>
        <w:t>50</w:t>
      </w:r>
      <w:r w:rsidRPr="00262420">
        <w:rPr>
          <w:rFonts w:cs="Arial"/>
          <w:szCs w:val="24"/>
        </w:rPr>
        <w:t>%, 201</w:t>
      </w:r>
      <w:r w:rsidR="001E4805">
        <w:rPr>
          <w:rFonts w:cs="Arial"/>
          <w:szCs w:val="24"/>
        </w:rPr>
        <w:t>7</w:t>
      </w:r>
      <w:r w:rsidRPr="00262420">
        <w:rPr>
          <w:rFonts w:cs="Arial"/>
          <w:szCs w:val="24"/>
        </w:rPr>
        <w:t>-1</w:t>
      </w:r>
      <w:r w:rsidR="001E4805">
        <w:rPr>
          <w:rFonts w:cs="Arial"/>
          <w:szCs w:val="24"/>
        </w:rPr>
        <w:t>8</w:t>
      </w:r>
      <w:r w:rsidR="00984C67">
        <w:rPr>
          <w:rFonts w:cs="Arial"/>
          <w:szCs w:val="24"/>
        </w:rPr>
        <w:t>), 3</w:t>
      </w:r>
      <w:r w:rsidR="00D91A5E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% of academic </w:t>
      </w:r>
      <w:r>
        <w:rPr>
          <w:rFonts w:cs="Arial"/>
          <w:b/>
          <w:szCs w:val="24"/>
        </w:rPr>
        <w:t xml:space="preserve">interviewees </w:t>
      </w:r>
      <w:r w:rsidR="00984C67">
        <w:rPr>
          <w:rFonts w:cs="Arial"/>
          <w:szCs w:val="24"/>
        </w:rPr>
        <w:t>(3</w:t>
      </w:r>
      <w:r w:rsidR="001E4805">
        <w:rPr>
          <w:rFonts w:cs="Arial"/>
          <w:szCs w:val="24"/>
        </w:rPr>
        <w:t>5</w:t>
      </w:r>
      <w:r w:rsidRPr="00262420">
        <w:rPr>
          <w:rFonts w:cs="Arial"/>
          <w:szCs w:val="24"/>
        </w:rPr>
        <w:t>%, 201</w:t>
      </w:r>
      <w:r w:rsidR="001E4805">
        <w:rPr>
          <w:rFonts w:cs="Arial"/>
          <w:szCs w:val="24"/>
        </w:rPr>
        <w:t>7</w:t>
      </w:r>
      <w:r w:rsidRPr="00262420">
        <w:rPr>
          <w:rFonts w:cs="Arial"/>
          <w:szCs w:val="24"/>
        </w:rPr>
        <w:t>-1</w:t>
      </w:r>
      <w:r w:rsidR="001E4805">
        <w:rPr>
          <w:rFonts w:cs="Arial"/>
          <w:szCs w:val="24"/>
        </w:rPr>
        <w:t>8</w:t>
      </w:r>
      <w:r w:rsidRPr="00262420">
        <w:rPr>
          <w:rFonts w:cs="Arial"/>
          <w:szCs w:val="24"/>
        </w:rPr>
        <w:t>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and those </w:t>
      </w:r>
      <w:r w:rsidR="00BA5A0D" w:rsidRPr="00262420">
        <w:rPr>
          <w:rFonts w:cs="Arial"/>
          <w:szCs w:val="24"/>
        </w:rPr>
        <w:t>2</w:t>
      </w:r>
      <w:r w:rsidR="00D91A5E">
        <w:rPr>
          <w:rFonts w:cs="Arial"/>
          <w:szCs w:val="24"/>
        </w:rPr>
        <w:t>9</w:t>
      </w:r>
      <w:r w:rsidR="00782DA7" w:rsidRPr="00262420">
        <w:rPr>
          <w:rFonts w:cs="Arial"/>
          <w:szCs w:val="24"/>
        </w:rPr>
        <w:t xml:space="preserve">% of those </w:t>
      </w:r>
      <w:r w:rsidR="00782DA7" w:rsidRPr="00262420">
        <w:rPr>
          <w:rFonts w:cs="Arial"/>
          <w:b/>
          <w:szCs w:val="24"/>
        </w:rPr>
        <w:t>appointe</w:t>
      </w:r>
      <w:r w:rsidR="00C32CBB" w:rsidRPr="00262420">
        <w:rPr>
          <w:rFonts w:cs="Arial"/>
          <w:b/>
          <w:szCs w:val="24"/>
        </w:rPr>
        <w:t>d</w:t>
      </w:r>
      <w:r w:rsidR="00BA5A0D" w:rsidRPr="0026242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(26% 201</w:t>
      </w:r>
      <w:r w:rsidR="001E4805">
        <w:rPr>
          <w:rFonts w:cs="Arial"/>
          <w:szCs w:val="24"/>
        </w:rPr>
        <w:t>7</w:t>
      </w:r>
      <w:r>
        <w:rPr>
          <w:rFonts w:cs="Arial"/>
          <w:szCs w:val="24"/>
        </w:rPr>
        <w:t>-1</w:t>
      </w:r>
      <w:r w:rsidR="001E4805">
        <w:rPr>
          <w:rFonts w:cs="Arial"/>
          <w:szCs w:val="24"/>
        </w:rPr>
        <w:t>8</w:t>
      </w:r>
      <w:r>
        <w:rPr>
          <w:rFonts w:cs="Arial"/>
          <w:szCs w:val="24"/>
        </w:rPr>
        <w:t>) declared th</w:t>
      </w:r>
      <w:r w:rsidR="000C4E00">
        <w:rPr>
          <w:rFonts w:cs="Arial"/>
          <w:szCs w:val="24"/>
        </w:rPr>
        <w:t>eir ethnicity as</w:t>
      </w:r>
      <w:r>
        <w:rPr>
          <w:rFonts w:cs="Arial"/>
          <w:szCs w:val="24"/>
        </w:rPr>
        <w:t xml:space="preserve"> B</w:t>
      </w:r>
      <w:r w:rsidR="000E3EFD">
        <w:rPr>
          <w:rFonts w:cs="Arial"/>
          <w:szCs w:val="24"/>
        </w:rPr>
        <w:t>lack, Asian, Mixed or Other</w:t>
      </w:r>
      <w:r>
        <w:rPr>
          <w:rFonts w:cs="Arial"/>
          <w:szCs w:val="24"/>
        </w:rPr>
        <w:t>.</w:t>
      </w:r>
    </w:p>
    <w:p w:rsidR="00DC5291" w:rsidRPr="00262420" w:rsidRDefault="00DC5291" w:rsidP="00E13914">
      <w:pPr>
        <w:spacing w:line="360" w:lineRule="auto"/>
        <w:rPr>
          <w:rFonts w:cs="Arial"/>
          <w:szCs w:val="24"/>
        </w:rPr>
      </w:pPr>
    </w:p>
    <w:p w:rsidR="00DC5291" w:rsidRPr="00850E15" w:rsidRDefault="00DC5291" w:rsidP="00E13914">
      <w:pPr>
        <w:spacing w:line="480" w:lineRule="auto"/>
        <w:rPr>
          <w:rFonts w:cs="Arial"/>
        </w:rPr>
      </w:pPr>
    </w:p>
    <w:p w:rsidR="00782DA7" w:rsidRDefault="00782DA7" w:rsidP="00A4000E">
      <w:pPr>
        <w:pStyle w:val="Heading2"/>
        <w:tabs>
          <w:tab w:val="left" w:pos="6105"/>
        </w:tabs>
      </w:pPr>
      <w:bookmarkStart w:id="6" w:name="_Toc62751148"/>
      <w:r w:rsidRPr="00332DC1">
        <w:lastRenderedPageBreak/>
        <w:t>Gender</w:t>
      </w:r>
      <w:bookmarkEnd w:id="6"/>
      <w:r w:rsidRPr="00332DC1">
        <w:t xml:space="preserve"> </w:t>
      </w:r>
      <w:r w:rsidR="00F22B39">
        <w:tab/>
      </w:r>
    </w:p>
    <w:p w:rsidR="001A72B8" w:rsidRDefault="00030970" w:rsidP="00030970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76B4E723">
            <wp:extent cx="5773420" cy="33045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ademic Staff Recruitment by Gender"/>
        <w:tblDescription w:val="Table showing the percentage of academic staff recruitment (applicants, interviewed and appointed) by gender in 2018-19. Categories include female and male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FF6ECB" w:rsidRPr="00CC59BD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Male</w:t>
            </w: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</w:tr>
      <w:tr w:rsidR="00FF6ECB" w:rsidRPr="00CC59BD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Applicants</w:t>
            </w: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62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38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A056D0" w:rsidRPr="00CC59BD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Interviewed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5</w:t>
            </w: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lang w:eastAsia="en-GB"/>
              </w:rPr>
              <w:t>7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</w:tr>
      <w:tr w:rsidR="00A056D0" w:rsidRPr="00CC59BD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Appointed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45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53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</w:tbl>
    <w:p w:rsidR="00CC59BD" w:rsidRPr="00850E15" w:rsidRDefault="00CC59BD" w:rsidP="00E13914">
      <w:pPr>
        <w:spacing w:line="360" w:lineRule="auto"/>
        <w:rPr>
          <w:rFonts w:cs="Arial"/>
        </w:rPr>
      </w:pPr>
    </w:p>
    <w:p w:rsidR="001C6B55" w:rsidRPr="00E13914" w:rsidRDefault="001C6B55" w:rsidP="00E13914">
      <w:pPr>
        <w:spacing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:rsidR="008D41B1" w:rsidRDefault="00CE5FE8" w:rsidP="00E13914">
      <w:pPr>
        <w:spacing w:line="360" w:lineRule="auto"/>
        <w:rPr>
          <w:rFonts w:cs="Arial"/>
          <w:szCs w:val="24"/>
        </w:rPr>
      </w:pPr>
      <w:r w:rsidRPr="00CE5FE8">
        <w:rPr>
          <w:rFonts w:cs="Arial"/>
          <w:szCs w:val="24"/>
        </w:rPr>
        <w:t>During the academic year 201</w:t>
      </w:r>
      <w:r w:rsidR="00A47CBE">
        <w:rPr>
          <w:rFonts w:cs="Arial"/>
          <w:szCs w:val="24"/>
        </w:rPr>
        <w:t>9-20</w:t>
      </w:r>
      <w:r w:rsidR="00F815A8">
        <w:rPr>
          <w:rFonts w:cs="Arial"/>
          <w:szCs w:val="24"/>
        </w:rPr>
        <w:t>,</w:t>
      </w:r>
      <w:r w:rsidRPr="00CE5FE8">
        <w:rPr>
          <w:rFonts w:cs="Arial"/>
          <w:szCs w:val="24"/>
        </w:rPr>
        <w:t xml:space="preserve"> </w:t>
      </w:r>
      <w:r w:rsidR="00CB0F59">
        <w:rPr>
          <w:rFonts w:cs="Arial"/>
          <w:szCs w:val="24"/>
        </w:rPr>
        <w:t>38</w:t>
      </w:r>
      <w:r w:rsidR="00C32CBB" w:rsidRPr="00CE5FE8">
        <w:rPr>
          <w:rFonts w:cs="Arial"/>
          <w:szCs w:val="24"/>
        </w:rPr>
        <w:t>% of</w:t>
      </w:r>
      <w:r w:rsidRPr="00CE5FE8">
        <w:rPr>
          <w:rFonts w:cs="Arial"/>
          <w:szCs w:val="24"/>
        </w:rPr>
        <w:t xml:space="preserve"> academic</w:t>
      </w:r>
      <w:r w:rsidR="00C32CBB" w:rsidRPr="00CE5FE8">
        <w:rPr>
          <w:rFonts w:cs="Arial"/>
          <w:szCs w:val="24"/>
        </w:rPr>
        <w:t xml:space="preserve"> </w:t>
      </w:r>
      <w:r w:rsidR="00C32CBB" w:rsidRPr="00CE5FE8">
        <w:rPr>
          <w:rFonts w:cs="Arial"/>
          <w:b/>
          <w:szCs w:val="24"/>
        </w:rPr>
        <w:t>applicants</w:t>
      </w:r>
      <w:r w:rsidR="00A47CBE">
        <w:rPr>
          <w:rFonts w:cs="Arial"/>
          <w:szCs w:val="24"/>
        </w:rPr>
        <w:t xml:space="preserve"> (38%, 2018</w:t>
      </w:r>
      <w:r w:rsidR="00A853A5" w:rsidRPr="00CE5FE8">
        <w:rPr>
          <w:rFonts w:cs="Arial"/>
          <w:szCs w:val="24"/>
        </w:rPr>
        <w:t>-1</w:t>
      </w:r>
      <w:r w:rsidR="00A47CBE">
        <w:rPr>
          <w:rFonts w:cs="Arial"/>
          <w:szCs w:val="24"/>
        </w:rPr>
        <w:t>9</w:t>
      </w:r>
      <w:r w:rsidR="00DB0AC9">
        <w:rPr>
          <w:rFonts w:cs="Arial"/>
          <w:szCs w:val="24"/>
        </w:rPr>
        <w:t>), 47</w:t>
      </w:r>
      <w:r w:rsidRPr="00CE5FE8">
        <w:rPr>
          <w:rFonts w:cs="Arial"/>
          <w:szCs w:val="24"/>
        </w:rPr>
        <w:t xml:space="preserve">% of academic </w:t>
      </w:r>
      <w:r w:rsidRPr="00CE5FE8">
        <w:rPr>
          <w:rFonts w:cs="Arial"/>
          <w:b/>
          <w:szCs w:val="24"/>
        </w:rPr>
        <w:t>interviewees</w:t>
      </w:r>
      <w:r>
        <w:rPr>
          <w:rFonts w:cs="Arial"/>
          <w:b/>
          <w:szCs w:val="24"/>
        </w:rPr>
        <w:t xml:space="preserve"> </w:t>
      </w:r>
      <w:r w:rsidR="00CB0F59">
        <w:rPr>
          <w:rFonts w:cs="Arial"/>
          <w:szCs w:val="24"/>
        </w:rPr>
        <w:t>(45</w:t>
      </w:r>
      <w:r w:rsidR="009D169F">
        <w:rPr>
          <w:rFonts w:cs="Arial"/>
          <w:szCs w:val="24"/>
        </w:rPr>
        <w:t>%, 201</w:t>
      </w:r>
      <w:r w:rsidR="00A47CBE">
        <w:rPr>
          <w:rFonts w:cs="Arial"/>
          <w:szCs w:val="24"/>
        </w:rPr>
        <w:t>8-19</w:t>
      </w:r>
      <w:r w:rsidR="009D169F">
        <w:rPr>
          <w:rFonts w:cs="Arial"/>
          <w:szCs w:val="24"/>
        </w:rPr>
        <w:t>)</w:t>
      </w:r>
      <w:r w:rsidRPr="00CE5FE8">
        <w:rPr>
          <w:rFonts w:cs="Arial"/>
          <w:szCs w:val="24"/>
        </w:rPr>
        <w:t xml:space="preserve"> and </w:t>
      </w:r>
      <w:r w:rsidR="00DB0AC9">
        <w:rPr>
          <w:rFonts w:cs="Arial"/>
          <w:szCs w:val="24"/>
        </w:rPr>
        <w:t>53</w:t>
      </w:r>
      <w:r w:rsidR="001C6B55" w:rsidRPr="00CE5FE8">
        <w:rPr>
          <w:rFonts w:cs="Arial"/>
          <w:szCs w:val="24"/>
        </w:rPr>
        <w:t xml:space="preserve">% of </w:t>
      </w:r>
      <w:r w:rsidRPr="00CE5FE8">
        <w:rPr>
          <w:rFonts w:cs="Arial"/>
          <w:szCs w:val="24"/>
        </w:rPr>
        <w:t>academics</w:t>
      </w:r>
      <w:r w:rsidR="001C6B55" w:rsidRPr="00CE5FE8">
        <w:rPr>
          <w:rFonts w:cs="Arial"/>
          <w:szCs w:val="24"/>
        </w:rPr>
        <w:t xml:space="preserve"> </w:t>
      </w:r>
      <w:r w:rsidR="001C6B55" w:rsidRPr="00CE5FE8">
        <w:rPr>
          <w:rFonts w:cs="Arial"/>
          <w:b/>
          <w:szCs w:val="24"/>
        </w:rPr>
        <w:t xml:space="preserve">appointed </w:t>
      </w:r>
      <w:r w:rsidR="00A47CBE">
        <w:rPr>
          <w:rFonts w:cs="Arial"/>
          <w:szCs w:val="24"/>
        </w:rPr>
        <w:t>(50</w:t>
      </w:r>
      <w:r w:rsidRPr="00CE5FE8">
        <w:rPr>
          <w:rFonts w:cs="Arial"/>
          <w:szCs w:val="24"/>
        </w:rPr>
        <w:t>%, 201</w:t>
      </w:r>
      <w:r w:rsidR="00A47CBE">
        <w:rPr>
          <w:rFonts w:cs="Arial"/>
          <w:szCs w:val="24"/>
        </w:rPr>
        <w:t>8-19</w:t>
      </w:r>
      <w:r w:rsidRPr="00CE5FE8">
        <w:rPr>
          <w:rFonts w:cs="Arial"/>
          <w:szCs w:val="24"/>
        </w:rPr>
        <w:t xml:space="preserve">) </w:t>
      </w:r>
      <w:r w:rsidR="001C6B55" w:rsidRPr="00CE5FE8">
        <w:rPr>
          <w:rFonts w:cs="Arial"/>
          <w:szCs w:val="24"/>
        </w:rPr>
        <w:t xml:space="preserve">were </w:t>
      </w:r>
      <w:r w:rsidR="00A853A5" w:rsidRPr="00CE5FE8">
        <w:rPr>
          <w:rFonts w:cs="Arial"/>
          <w:szCs w:val="24"/>
        </w:rPr>
        <w:t>female</w:t>
      </w:r>
      <w:r>
        <w:rPr>
          <w:rFonts w:cs="Arial"/>
          <w:szCs w:val="24"/>
        </w:rPr>
        <w:t>.</w:t>
      </w:r>
      <w:r w:rsidR="00A853A5" w:rsidRPr="00CE5FE8">
        <w:rPr>
          <w:rFonts w:cs="Arial"/>
          <w:szCs w:val="24"/>
        </w:rPr>
        <w:t xml:space="preserve"> </w:t>
      </w:r>
    </w:p>
    <w:p w:rsidR="00CE5FE8" w:rsidRPr="00CE5FE8" w:rsidRDefault="00C470A8" w:rsidP="00E1391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62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applicants</w:t>
      </w:r>
      <w:r w:rsidR="00CE5FE8" w:rsidRPr="00CE5FE8">
        <w:rPr>
          <w:rFonts w:cs="Arial"/>
          <w:szCs w:val="24"/>
        </w:rPr>
        <w:t xml:space="preserve"> </w:t>
      </w:r>
      <w:r w:rsidR="00617E28">
        <w:rPr>
          <w:rFonts w:cs="Arial"/>
          <w:szCs w:val="24"/>
        </w:rPr>
        <w:t>(62</w:t>
      </w:r>
      <w:r w:rsidR="003F79B0">
        <w:rPr>
          <w:rFonts w:cs="Arial"/>
          <w:szCs w:val="24"/>
        </w:rPr>
        <w:t>%, 2018-19</w:t>
      </w:r>
      <w:r w:rsidR="00CE5FE8" w:rsidRPr="00CE5FE8">
        <w:rPr>
          <w:rFonts w:cs="Arial"/>
          <w:szCs w:val="24"/>
        </w:rPr>
        <w:t xml:space="preserve">), </w:t>
      </w:r>
      <w:r w:rsidR="00225AEE">
        <w:rPr>
          <w:rFonts w:cs="Arial"/>
          <w:szCs w:val="24"/>
        </w:rPr>
        <w:t>52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interviewees</w:t>
      </w:r>
      <w:r w:rsidR="00CE5FE8">
        <w:rPr>
          <w:rFonts w:cs="Arial"/>
          <w:b/>
          <w:szCs w:val="24"/>
        </w:rPr>
        <w:t xml:space="preserve"> </w:t>
      </w:r>
      <w:r w:rsidR="00CE5FE8" w:rsidRPr="00CE5FE8">
        <w:rPr>
          <w:rFonts w:cs="Arial"/>
          <w:szCs w:val="24"/>
        </w:rPr>
        <w:t>(</w:t>
      </w:r>
      <w:r w:rsidR="00CE5FE8">
        <w:rPr>
          <w:rFonts w:cs="Arial"/>
          <w:szCs w:val="24"/>
        </w:rPr>
        <w:t>5</w:t>
      </w:r>
      <w:r>
        <w:rPr>
          <w:rFonts w:cs="Arial"/>
          <w:szCs w:val="24"/>
        </w:rPr>
        <w:t>4</w:t>
      </w:r>
      <w:r w:rsidR="00CE5FE8" w:rsidRPr="00CE5FE8">
        <w:rPr>
          <w:rFonts w:cs="Arial"/>
          <w:szCs w:val="24"/>
        </w:rPr>
        <w:t>%, 201</w:t>
      </w:r>
      <w:r w:rsidR="003F79B0">
        <w:rPr>
          <w:rFonts w:cs="Arial"/>
          <w:szCs w:val="24"/>
        </w:rPr>
        <w:t>8-19</w:t>
      </w:r>
      <w:r w:rsidR="00CE5FE8" w:rsidRPr="00CE5FE8">
        <w:rPr>
          <w:rFonts w:cs="Arial"/>
          <w:szCs w:val="24"/>
        </w:rPr>
        <w:t xml:space="preserve">) and </w:t>
      </w:r>
      <w:r w:rsidR="00225AEE">
        <w:rPr>
          <w:rFonts w:cs="Arial"/>
          <w:szCs w:val="24"/>
        </w:rPr>
        <w:t>45</w:t>
      </w:r>
      <w:r w:rsidR="00CE5FE8" w:rsidRPr="00CE5FE8">
        <w:rPr>
          <w:rFonts w:cs="Arial"/>
          <w:szCs w:val="24"/>
        </w:rPr>
        <w:t xml:space="preserve">% of academics </w:t>
      </w:r>
      <w:r w:rsidR="00CE5FE8" w:rsidRPr="00CE5FE8">
        <w:rPr>
          <w:rFonts w:cs="Arial"/>
          <w:b/>
          <w:szCs w:val="24"/>
        </w:rPr>
        <w:t xml:space="preserve">appointed </w:t>
      </w:r>
      <w:r w:rsidR="00CE5FE8" w:rsidRPr="00CE5FE8">
        <w:rPr>
          <w:rFonts w:cs="Arial"/>
          <w:szCs w:val="24"/>
        </w:rPr>
        <w:t>(</w:t>
      </w:r>
      <w:r w:rsidR="00617E28">
        <w:rPr>
          <w:rFonts w:cs="Arial"/>
          <w:szCs w:val="24"/>
        </w:rPr>
        <w:t>48</w:t>
      </w:r>
      <w:r w:rsidR="00CE5FE8" w:rsidRPr="00CE5FE8">
        <w:rPr>
          <w:rFonts w:cs="Arial"/>
          <w:szCs w:val="24"/>
        </w:rPr>
        <w:t>%, 201</w:t>
      </w:r>
      <w:r w:rsidR="003F79B0">
        <w:rPr>
          <w:rFonts w:cs="Arial"/>
          <w:szCs w:val="24"/>
        </w:rPr>
        <w:t>8</w:t>
      </w:r>
      <w:r w:rsidR="00CE5FE8" w:rsidRPr="00CE5FE8">
        <w:rPr>
          <w:rFonts w:cs="Arial"/>
          <w:szCs w:val="24"/>
        </w:rPr>
        <w:t>-1</w:t>
      </w:r>
      <w:r w:rsidR="003F79B0">
        <w:rPr>
          <w:rFonts w:cs="Arial"/>
          <w:szCs w:val="24"/>
        </w:rPr>
        <w:t>9</w:t>
      </w:r>
      <w:r w:rsidR="00CE5FE8" w:rsidRPr="00CE5FE8">
        <w:rPr>
          <w:rFonts w:cs="Arial"/>
          <w:szCs w:val="24"/>
        </w:rPr>
        <w:t xml:space="preserve">) were </w:t>
      </w:r>
      <w:r w:rsidR="00CE5FE8">
        <w:rPr>
          <w:rFonts w:cs="Arial"/>
          <w:szCs w:val="24"/>
        </w:rPr>
        <w:t>male.</w:t>
      </w:r>
      <w:r w:rsidR="00CE5FE8" w:rsidRPr="00CE5FE8">
        <w:rPr>
          <w:rFonts w:cs="Arial"/>
          <w:szCs w:val="24"/>
        </w:rPr>
        <w:t xml:space="preserve"> </w:t>
      </w:r>
    </w:p>
    <w:p w:rsidR="0088292B" w:rsidRPr="006B270C" w:rsidRDefault="0088292B" w:rsidP="0088292B">
      <w:pPr>
        <w:spacing w:line="360" w:lineRule="auto"/>
        <w:rPr>
          <w:rFonts w:cs="Arial"/>
        </w:rPr>
      </w:pPr>
      <w:r>
        <w:rPr>
          <w:rFonts w:cs="Arial"/>
          <w:szCs w:val="24"/>
        </w:rPr>
        <w:t>This year, additional categories were available. No applicants were gender fluid or non binar</w:t>
      </w:r>
      <w:r w:rsidR="00706771">
        <w:rPr>
          <w:rFonts w:cs="Arial"/>
          <w:szCs w:val="24"/>
        </w:rPr>
        <w:t xml:space="preserve">y, although there were 35 </w:t>
      </w:r>
      <w:r w:rsidRPr="005A1EA0">
        <w:rPr>
          <w:rFonts w:cs="Arial"/>
          <w:b/>
          <w:szCs w:val="24"/>
        </w:rPr>
        <w:t>applicants</w:t>
      </w:r>
      <w:r w:rsidR="00706771">
        <w:rPr>
          <w:rFonts w:cs="Arial"/>
          <w:szCs w:val="24"/>
        </w:rPr>
        <w:t xml:space="preserve"> with other gender</w:t>
      </w:r>
      <w:bookmarkStart w:id="7" w:name="_GoBack"/>
      <w:bookmarkEnd w:id="7"/>
      <w:r>
        <w:rPr>
          <w:rFonts w:cs="Arial"/>
          <w:szCs w:val="24"/>
        </w:rPr>
        <w:t xml:space="preserve">, 8 of which were </w:t>
      </w:r>
      <w:r w:rsidRPr="005A1EA0">
        <w:rPr>
          <w:rFonts w:cs="Arial"/>
          <w:b/>
          <w:szCs w:val="24"/>
        </w:rPr>
        <w:t>interviewed</w:t>
      </w:r>
      <w:r>
        <w:rPr>
          <w:rFonts w:cs="Arial"/>
          <w:szCs w:val="24"/>
        </w:rPr>
        <w:t xml:space="preserve">, and one </w:t>
      </w:r>
      <w:r w:rsidRPr="005A1EA0">
        <w:rPr>
          <w:rFonts w:cs="Arial"/>
          <w:b/>
          <w:szCs w:val="24"/>
        </w:rPr>
        <w:t>appointed</w:t>
      </w:r>
      <w:r>
        <w:rPr>
          <w:rFonts w:cs="Arial"/>
          <w:szCs w:val="24"/>
        </w:rPr>
        <w:t xml:space="preserve">. </w:t>
      </w:r>
    </w:p>
    <w:p w:rsidR="002A29AC" w:rsidRPr="00CE5FE8" w:rsidRDefault="002A29AC" w:rsidP="00E13914">
      <w:pPr>
        <w:spacing w:line="360" w:lineRule="auto"/>
        <w:rPr>
          <w:rFonts w:cs="Arial"/>
          <w:szCs w:val="24"/>
        </w:rPr>
      </w:pPr>
    </w:p>
    <w:p w:rsidR="00BD6BE7" w:rsidRPr="00850E15" w:rsidRDefault="00BD6BE7" w:rsidP="00E13914">
      <w:pPr>
        <w:spacing w:after="0" w:line="360" w:lineRule="auto"/>
        <w:rPr>
          <w:rFonts w:cs="Arial"/>
        </w:rPr>
      </w:pPr>
      <w:r w:rsidRPr="00850E15">
        <w:rPr>
          <w:rFonts w:cs="Arial"/>
        </w:rPr>
        <w:br w:type="page"/>
      </w:r>
    </w:p>
    <w:p w:rsidR="00032408" w:rsidRDefault="00AB6AFE" w:rsidP="00E13914">
      <w:pPr>
        <w:pStyle w:val="Heading2"/>
        <w:rPr>
          <w:rStyle w:val="Heading1Char"/>
          <w:b/>
          <w:bCs w:val="0"/>
          <w:sz w:val="32"/>
          <w:szCs w:val="26"/>
        </w:rPr>
      </w:pPr>
      <w:bookmarkStart w:id="8" w:name="_Toc62751149"/>
      <w:r w:rsidRPr="00E13914">
        <w:rPr>
          <w:rStyle w:val="Heading1Char"/>
          <w:b/>
          <w:bCs w:val="0"/>
          <w:sz w:val="32"/>
          <w:szCs w:val="26"/>
        </w:rPr>
        <w:lastRenderedPageBreak/>
        <w:t xml:space="preserve">Gender </w:t>
      </w:r>
      <w:r w:rsidR="006D12E4" w:rsidRPr="00E13914">
        <w:rPr>
          <w:rStyle w:val="Heading1Char"/>
          <w:b/>
          <w:bCs w:val="0"/>
          <w:sz w:val="32"/>
          <w:szCs w:val="26"/>
        </w:rPr>
        <w:t>reassignment</w:t>
      </w:r>
      <w:bookmarkEnd w:id="8"/>
    </w:p>
    <w:p w:rsidR="00F133C7" w:rsidRPr="00A4000E" w:rsidRDefault="00F133C7" w:rsidP="00A4000E">
      <w:pPr>
        <w:rPr>
          <w:sz w:val="22"/>
        </w:rPr>
      </w:pPr>
      <w:r w:rsidRPr="00A4000E">
        <w:rPr>
          <w:sz w:val="22"/>
        </w:rPr>
        <w:t>“Is your gender identity the same as the gender you were assigned at birth?”</w:t>
      </w:r>
    </w:p>
    <w:p w:rsidR="003D0CAC" w:rsidRDefault="00C96128" w:rsidP="00E13914">
      <w:pPr>
        <w:spacing w:line="360" w:lineRule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460456EF" wp14:editId="27DAF42C">
            <wp:extent cx="6096000" cy="31051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Gender Reassignment"/>
        <w:tblDescription w:val="Table showing the percentage of academic staff recruitment (applicants, interviewed and appointed) by gender reassignment 2018-19. Categories include assigned at birth, not as assigned at birth, prefer not to answer and unknown."/>
      </w:tblPr>
      <w:tblGrid>
        <w:gridCol w:w="1925"/>
        <w:gridCol w:w="1925"/>
        <w:gridCol w:w="1926"/>
        <w:gridCol w:w="1926"/>
        <w:gridCol w:w="1926"/>
      </w:tblGrid>
      <w:tr w:rsidR="003D0CAC" w:rsidRPr="003D0CAC" w:rsidTr="00E13914">
        <w:trPr>
          <w:trHeight w:val="3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Not 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Unknown</w:t>
            </w:r>
          </w:p>
        </w:tc>
      </w:tr>
      <w:tr w:rsidR="003D0CAC" w:rsidRPr="003D0CAC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97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B94813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  <w:r w:rsidR="003D0CAC" w:rsidRPr="003D0CAC">
              <w:rPr>
                <w:lang w:eastAsia="en-GB"/>
              </w:rPr>
              <w:t>%</w:t>
            </w:r>
          </w:p>
        </w:tc>
      </w:tr>
      <w:tr w:rsidR="003D0CAC" w:rsidRPr="003D0CAC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96%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2%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3D0CAC" w:rsidRPr="003D0CAC">
              <w:rPr>
                <w:lang w:eastAsia="en-GB"/>
              </w:rPr>
              <w:t>%</w:t>
            </w:r>
          </w:p>
        </w:tc>
      </w:tr>
      <w:tr w:rsidR="003D0CAC" w:rsidRPr="003D0CAC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9</w:t>
            </w:r>
            <w:r w:rsidR="00B94813">
              <w:rPr>
                <w:lang w:eastAsia="en-GB"/>
              </w:rPr>
              <w:t>6</w:t>
            </w:r>
            <w:r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B94813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2%</w:t>
            </w:r>
          </w:p>
        </w:tc>
      </w:tr>
    </w:tbl>
    <w:p w:rsidR="00E13914" w:rsidRDefault="00E13914" w:rsidP="00E13914">
      <w:pPr>
        <w:spacing w:line="360" w:lineRule="auto"/>
        <w:rPr>
          <w:b/>
          <w:szCs w:val="24"/>
          <w:lang w:eastAsia="en-GB"/>
        </w:rPr>
      </w:pPr>
    </w:p>
    <w:p w:rsidR="00053623" w:rsidRPr="00E13914" w:rsidRDefault="00EB3C8B" w:rsidP="00E13914">
      <w:pPr>
        <w:spacing w:line="360" w:lineRule="auto"/>
        <w:rPr>
          <w:b/>
          <w:szCs w:val="24"/>
          <w:lang w:eastAsia="en-GB"/>
        </w:rPr>
      </w:pPr>
      <w:r w:rsidRPr="00E13914">
        <w:rPr>
          <w:b/>
          <w:szCs w:val="24"/>
          <w:lang w:eastAsia="en-GB"/>
        </w:rPr>
        <w:t>Commentary</w:t>
      </w:r>
    </w:p>
    <w:p w:rsidR="00053623" w:rsidRPr="00DD3635" w:rsidRDefault="004C56EB" w:rsidP="00E13914">
      <w:pPr>
        <w:spacing w:line="360" w:lineRule="auto"/>
        <w:rPr>
          <w:highlight w:val="red"/>
          <w:lang w:eastAsia="en-GB"/>
        </w:rPr>
      </w:pPr>
      <w:r>
        <w:rPr>
          <w:szCs w:val="24"/>
          <w:lang w:eastAsia="en-GB"/>
        </w:rPr>
        <w:t>During the academic year 201</w:t>
      </w:r>
      <w:r w:rsidR="00A55B3D">
        <w:rPr>
          <w:szCs w:val="24"/>
          <w:lang w:eastAsia="en-GB"/>
        </w:rPr>
        <w:t>9</w:t>
      </w:r>
      <w:r>
        <w:rPr>
          <w:szCs w:val="24"/>
          <w:lang w:eastAsia="en-GB"/>
        </w:rPr>
        <w:t>-</w:t>
      </w:r>
      <w:r w:rsidR="00A55B3D">
        <w:rPr>
          <w:szCs w:val="24"/>
          <w:lang w:eastAsia="en-GB"/>
        </w:rPr>
        <w:t>20</w:t>
      </w:r>
      <w:r>
        <w:rPr>
          <w:szCs w:val="24"/>
          <w:lang w:eastAsia="en-GB"/>
        </w:rPr>
        <w:t xml:space="preserve"> there were </w:t>
      </w:r>
      <w:r w:rsidR="00C53FBD">
        <w:rPr>
          <w:szCs w:val="24"/>
          <w:lang w:eastAsia="en-GB"/>
        </w:rPr>
        <w:t>51</w:t>
      </w:r>
      <w:r w:rsidR="00305F34">
        <w:rPr>
          <w:szCs w:val="24"/>
          <w:lang w:eastAsia="en-GB"/>
        </w:rPr>
        <w:t xml:space="preserve"> academic </w:t>
      </w:r>
      <w:r w:rsidR="00305F34" w:rsidRPr="00DE6C46">
        <w:rPr>
          <w:b/>
          <w:szCs w:val="24"/>
          <w:lang w:eastAsia="en-GB"/>
        </w:rPr>
        <w:t>applicants</w:t>
      </w:r>
      <w:r>
        <w:rPr>
          <w:szCs w:val="24"/>
          <w:lang w:eastAsia="en-GB"/>
        </w:rPr>
        <w:t xml:space="preserve"> (</w:t>
      </w:r>
      <w:r w:rsidR="00A55B3D">
        <w:rPr>
          <w:szCs w:val="24"/>
          <w:lang w:eastAsia="en-GB"/>
        </w:rPr>
        <w:t>69</w:t>
      </w:r>
      <w:r w:rsidR="00F3743E">
        <w:rPr>
          <w:szCs w:val="24"/>
          <w:lang w:eastAsia="en-GB"/>
        </w:rPr>
        <w:t>, 201</w:t>
      </w:r>
      <w:r w:rsidR="00A55B3D">
        <w:rPr>
          <w:szCs w:val="24"/>
          <w:lang w:eastAsia="en-GB"/>
        </w:rPr>
        <w:t>8</w:t>
      </w:r>
      <w:r w:rsidR="00F3743E">
        <w:rPr>
          <w:szCs w:val="24"/>
          <w:lang w:eastAsia="en-GB"/>
        </w:rPr>
        <w:t>-1</w:t>
      </w:r>
      <w:r w:rsidR="00A55B3D">
        <w:rPr>
          <w:szCs w:val="24"/>
          <w:lang w:eastAsia="en-GB"/>
        </w:rPr>
        <w:t>9</w:t>
      </w:r>
      <w:r w:rsidR="00305F34">
        <w:rPr>
          <w:szCs w:val="24"/>
          <w:lang w:eastAsia="en-GB"/>
        </w:rPr>
        <w:t>) who decla</w:t>
      </w:r>
      <w:r w:rsidR="00104284">
        <w:rPr>
          <w:szCs w:val="24"/>
          <w:lang w:eastAsia="en-GB"/>
        </w:rPr>
        <w:t xml:space="preserve">red that their gender identity did not match their </w:t>
      </w:r>
      <w:r w:rsidR="00CA69CB">
        <w:rPr>
          <w:szCs w:val="24"/>
          <w:lang w:eastAsia="en-GB"/>
        </w:rPr>
        <w:t>gender</w:t>
      </w:r>
      <w:r w:rsidR="00104284">
        <w:rPr>
          <w:szCs w:val="24"/>
          <w:lang w:eastAsia="en-GB"/>
        </w:rPr>
        <w:t xml:space="preserve"> as </w:t>
      </w:r>
      <w:r w:rsidR="00CA69CB">
        <w:rPr>
          <w:szCs w:val="24"/>
          <w:lang w:eastAsia="en-GB"/>
        </w:rPr>
        <w:t>assigned</w:t>
      </w:r>
      <w:r w:rsidR="00104284">
        <w:rPr>
          <w:szCs w:val="24"/>
          <w:lang w:eastAsia="en-GB"/>
        </w:rPr>
        <w:t xml:space="preserve"> a</w:t>
      </w:r>
      <w:r w:rsidR="00305F34">
        <w:rPr>
          <w:szCs w:val="24"/>
          <w:lang w:eastAsia="en-GB"/>
        </w:rPr>
        <w:t xml:space="preserve">t birth. Of these 56 applicants, </w:t>
      </w:r>
      <w:r w:rsidR="00C53FBD">
        <w:rPr>
          <w:szCs w:val="24"/>
          <w:lang w:eastAsia="en-GB"/>
        </w:rPr>
        <w:t>five</w:t>
      </w:r>
      <w:r w:rsidR="00DC1160">
        <w:rPr>
          <w:szCs w:val="24"/>
          <w:lang w:eastAsia="en-GB"/>
        </w:rPr>
        <w:t xml:space="preserve"> </w:t>
      </w:r>
      <w:r w:rsidR="00305F34">
        <w:rPr>
          <w:szCs w:val="24"/>
          <w:lang w:eastAsia="en-GB"/>
        </w:rPr>
        <w:t xml:space="preserve">were </w:t>
      </w:r>
      <w:r w:rsidR="00305F34" w:rsidRPr="00DE6C46">
        <w:rPr>
          <w:b/>
          <w:szCs w:val="24"/>
          <w:lang w:eastAsia="en-GB"/>
        </w:rPr>
        <w:t>interviewed</w:t>
      </w:r>
      <w:r w:rsidR="005B4B9C">
        <w:rPr>
          <w:szCs w:val="24"/>
          <w:lang w:eastAsia="en-GB"/>
        </w:rPr>
        <w:t xml:space="preserve"> (</w:t>
      </w:r>
      <w:r w:rsidR="00A55B3D">
        <w:rPr>
          <w:szCs w:val="24"/>
          <w:lang w:eastAsia="en-GB"/>
        </w:rPr>
        <w:t>7</w:t>
      </w:r>
      <w:r w:rsidR="00F3743E">
        <w:rPr>
          <w:szCs w:val="24"/>
          <w:lang w:eastAsia="en-GB"/>
        </w:rPr>
        <w:t>, 201</w:t>
      </w:r>
      <w:r w:rsidR="00A55B3D">
        <w:rPr>
          <w:szCs w:val="24"/>
          <w:lang w:eastAsia="en-GB"/>
        </w:rPr>
        <w:t>8</w:t>
      </w:r>
      <w:r w:rsidR="00F3743E">
        <w:rPr>
          <w:szCs w:val="24"/>
          <w:lang w:eastAsia="en-GB"/>
        </w:rPr>
        <w:t>-1</w:t>
      </w:r>
      <w:r w:rsidR="00A55B3D">
        <w:rPr>
          <w:szCs w:val="24"/>
          <w:lang w:eastAsia="en-GB"/>
        </w:rPr>
        <w:t>9</w:t>
      </w:r>
      <w:r w:rsidR="00305F34">
        <w:rPr>
          <w:szCs w:val="24"/>
          <w:lang w:eastAsia="en-GB"/>
        </w:rPr>
        <w:t xml:space="preserve">) and </w:t>
      </w:r>
      <w:r w:rsidR="00C53FBD">
        <w:rPr>
          <w:szCs w:val="24"/>
          <w:lang w:eastAsia="en-GB"/>
        </w:rPr>
        <w:t>none</w:t>
      </w:r>
      <w:r w:rsidR="00945806">
        <w:rPr>
          <w:szCs w:val="24"/>
          <w:lang w:eastAsia="en-GB"/>
        </w:rPr>
        <w:t xml:space="preserve"> were</w:t>
      </w:r>
      <w:r w:rsidR="00305F34">
        <w:rPr>
          <w:szCs w:val="24"/>
          <w:lang w:eastAsia="en-GB"/>
        </w:rPr>
        <w:t xml:space="preserve"> </w:t>
      </w:r>
      <w:r w:rsidR="00305F34" w:rsidRPr="00DE6C46">
        <w:rPr>
          <w:b/>
          <w:szCs w:val="24"/>
          <w:lang w:eastAsia="en-GB"/>
        </w:rPr>
        <w:t>appointed</w:t>
      </w:r>
      <w:r w:rsidR="005B4B9C">
        <w:rPr>
          <w:szCs w:val="24"/>
          <w:lang w:eastAsia="en-GB"/>
        </w:rPr>
        <w:t xml:space="preserve"> (</w:t>
      </w:r>
      <w:r w:rsidR="00A55B3D">
        <w:rPr>
          <w:szCs w:val="24"/>
          <w:lang w:eastAsia="en-GB"/>
        </w:rPr>
        <w:t>2</w:t>
      </w:r>
      <w:r w:rsidR="00F3743E">
        <w:rPr>
          <w:szCs w:val="24"/>
          <w:lang w:eastAsia="en-GB"/>
        </w:rPr>
        <w:t>, 201</w:t>
      </w:r>
      <w:r w:rsidR="00A55B3D">
        <w:rPr>
          <w:szCs w:val="24"/>
          <w:lang w:eastAsia="en-GB"/>
        </w:rPr>
        <w:t>8</w:t>
      </w:r>
      <w:r w:rsidR="00F3743E">
        <w:rPr>
          <w:szCs w:val="24"/>
          <w:lang w:eastAsia="en-GB"/>
        </w:rPr>
        <w:t>-1</w:t>
      </w:r>
      <w:r w:rsidR="00A55B3D">
        <w:rPr>
          <w:szCs w:val="24"/>
          <w:lang w:eastAsia="en-GB"/>
        </w:rPr>
        <w:t>9</w:t>
      </w:r>
      <w:r w:rsidR="00305F34">
        <w:rPr>
          <w:szCs w:val="24"/>
          <w:lang w:eastAsia="en-GB"/>
        </w:rPr>
        <w:t>)</w:t>
      </w:r>
      <w:r w:rsidR="00DF705E">
        <w:rPr>
          <w:szCs w:val="24"/>
          <w:lang w:eastAsia="en-GB"/>
        </w:rPr>
        <w:t xml:space="preserve">. </w:t>
      </w:r>
    </w:p>
    <w:p w:rsidR="00053623" w:rsidRPr="00DD3635" w:rsidRDefault="00053623" w:rsidP="00E13914">
      <w:pPr>
        <w:spacing w:line="1200" w:lineRule="auto"/>
        <w:rPr>
          <w:highlight w:val="red"/>
          <w:lang w:eastAsia="en-GB"/>
        </w:rPr>
      </w:pPr>
    </w:p>
    <w:p w:rsidR="00CA69CB" w:rsidRDefault="00CA69CB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8B207D" w:rsidRPr="00663D9C" w:rsidRDefault="00EB3C8B" w:rsidP="00E13914">
      <w:pPr>
        <w:pStyle w:val="Heading2"/>
      </w:pPr>
      <w:bookmarkStart w:id="9" w:name="_Toc62751150"/>
      <w:r w:rsidRPr="00663D9C">
        <w:lastRenderedPageBreak/>
        <w:t>Religion</w:t>
      </w:r>
      <w:r w:rsidR="00663D9C">
        <w:t xml:space="preserve"> or Belief</w:t>
      </w:r>
      <w:bookmarkEnd w:id="9"/>
    </w:p>
    <w:p w:rsidR="004B7590" w:rsidRDefault="004B7590" w:rsidP="00E13914"/>
    <w:p w:rsidR="004B7590" w:rsidRDefault="003F41AC" w:rsidP="00E13914">
      <w:r>
        <w:rPr>
          <w:noProof/>
          <w:lang w:eastAsia="en-GB"/>
        </w:rPr>
        <w:drawing>
          <wp:inline distT="0" distB="0" distL="0" distR="0" wp14:anchorId="6F940DA8" wp14:editId="3034E457">
            <wp:extent cx="6038850" cy="29813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4959" w:type="pct"/>
        <w:tblLayout w:type="fixed"/>
        <w:tblLook w:val="04A0" w:firstRow="1" w:lastRow="0" w:firstColumn="1" w:lastColumn="0" w:noHBand="0" w:noVBand="1"/>
        <w:tblCaption w:val="Academic Staff Recruitment by Religion or Belief"/>
        <w:tblDescription w:val="Table showing the percentage of academic staff recruitment (applicants, interviewed and appointed) by religion or belief 2018-19. Categories include Buddhist, Christian, Hindu, Jewish, Muslim, Sikh, Any other religion, Prefer not to answer and Unknown."/>
      </w:tblPr>
      <w:tblGrid>
        <w:gridCol w:w="1552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0"/>
      </w:tblGrid>
      <w:tr w:rsidR="0063286E" w:rsidRPr="00696332" w:rsidTr="00A4000E">
        <w:trPr>
          <w:cantSplit/>
          <w:trHeight w:val="1345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Buddhist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Christian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Hindu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Jewish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Muslim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Spiritual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Sikh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None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63286E" w:rsidRPr="00696332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107331"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63286E" w:rsidRPr="00696332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22%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="00107331">
              <w:rPr>
                <w:rFonts w:eastAsia="Times New Roman" w:cs="Arial"/>
                <w:color w:val="000000"/>
                <w:lang w:eastAsia="en-GB"/>
              </w:rPr>
              <w:t>6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63286E" w:rsidRPr="00696332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:rsidR="00053623" w:rsidRPr="00DD3635" w:rsidRDefault="00053623" w:rsidP="00E13914">
      <w:pPr>
        <w:rPr>
          <w:rFonts w:cs="Arial"/>
          <w:highlight w:val="red"/>
        </w:rPr>
      </w:pPr>
    </w:p>
    <w:p w:rsidR="00EB3C8B" w:rsidRPr="00E13914" w:rsidRDefault="00EB3C8B" w:rsidP="00E13914">
      <w:pPr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:rsidR="00EB3C8B" w:rsidRPr="006B701F" w:rsidRDefault="00DE6C46" w:rsidP="00E13914">
      <w:pPr>
        <w:rPr>
          <w:rFonts w:cs="Arial"/>
          <w:szCs w:val="24"/>
        </w:rPr>
      </w:pPr>
      <w:r w:rsidRPr="00DE6C46">
        <w:rPr>
          <w:rFonts w:cs="Arial"/>
          <w:szCs w:val="24"/>
        </w:rPr>
        <w:t>During the academic year 201</w:t>
      </w:r>
      <w:r w:rsidR="008F06A8">
        <w:rPr>
          <w:rFonts w:cs="Arial"/>
          <w:szCs w:val="24"/>
        </w:rPr>
        <w:t>9</w:t>
      </w:r>
      <w:r w:rsidR="002C3C77">
        <w:rPr>
          <w:rFonts w:cs="Arial"/>
          <w:szCs w:val="24"/>
        </w:rPr>
        <w:t>-</w:t>
      </w:r>
      <w:r w:rsidR="008F06A8">
        <w:rPr>
          <w:rFonts w:cs="Arial"/>
          <w:szCs w:val="24"/>
        </w:rPr>
        <w:t>20</w:t>
      </w:r>
      <w:r w:rsidRPr="00DE6C46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3</w:t>
      </w:r>
      <w:r w:rsidR="00C848E9">
        <w:rPr>
          <w:rFonts w:cs="Arial"/>
          <w:szCs w:val="24"/>
        </w:rPr>
        <w:t>1</w:t>
      </w:r>
      <w:r w:rsidR="00EB3C8B" w:rsidRPr="00DE6C46">
        <w:rPr>
          <w:rFonts w:cs="Arial"/>
          <w:szCs w:val="24"/>
        </w:rPr>
        <w:t>% of</w:t>
      </w:r>
      <w:r w:rsidRPr="00DE6C46">
        <w:rPr>
          <w:rFonts w:cs="Arial"/>
          <w:szCs w:val="24"/>
        </w:rPr>
        <w:t xml:space="preserve"> academic</w:t>
      </w:r>
      <w:r w:rsidR="00EB3C8B" w:rsidRPr="00DE6C46">
        <w:rPr>
          <w:rFonts w:cs="Arial"/>
          <w:szCs w:val="24"/>
        </w:rPr>
        <w:t xml:space="preserve"> </w:t>
      </w:r>
      <w:r w:rsidR="00EB3C8B" w:rsidRPr="00DE6C46">
        <w:rPr>
          <w:rFonts w:cs="Arial"/>
          <w:b/>
          <w:szCs w:val="24"/>
        </w:rPr>
        <w:t>applicants</w:t>
      </w:r>
      <w:r w:rsidR="00EB3C8B" w:rsidRPr="00DE6C46">
        <w:rPr>
          <w:rFonts w:cs="Arial"/>
          <w:szCs w:val="24"/>
        </w:rPr>
        <w:t xml:space="preserve"> </w:t>
      </w:r>
      <w:r w:rsidRPr="00DE6C46">
        <w:rPr>
          <w:rFonts w:cs="Arial"/>
          <w:szCs w:val="24"/>
        </w:rPr>
        <w:t>(3</w:t>
      </w:r>
      <w:r w:rsidR="008F06A8">
        <w:rPr>
          <w:rFonts w:cs="Arial"/>
          <w:szCs w:val="24"/>
        </w:rPr>
        <w:t>7</w:t>
      </w:r>
      <w:r w:rsidRPr="00DE6C46">
        <w:rPr>
          <w:rFonts w:cs="Arial"/>
          <w:szCs w:val="24"/>
        </w:rPr>
        <w:t>% 201</w:t>
      </w:r>
      <w:r w:rsidR="008F06A8">
        <w:rPr>
          <w:rFonts w:cs="Arial"/>
          <w:szCs w:val="24"/>
        </w:rPr>
        <w:t>8</w:t>
      </w:r>
      <w:r w:rsidR="002C3C77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Pr="00DE6C46">
        <w:rPr>
          <w:rFonts w:cs="Arial"/>
          <w:szCs w:val="24"/>
        </w:rPr>
        <w:t xml:space="preserve">) </w:t>
      </w:r>
      <w:r w:rsidR="00EB3C8B" w:rsidRPr="00DE6C46">
        <w:rPr>
          <w:rFonts w:cs="Arial"/>
          <w:szCs w:val="24"/>
        </w:rPr>
        <w:t>stat</w:t>
      </w:r>
      <w:r w:rsidR="008B207D" w:rsidRPr="00DE6C46">
        <w:rPr>
          <w:rFonts w:cs="Arial"/>
          <w:szCs w:val="24"/>
        </w:rPr>
        <w:t>ed that they had no religion</w:t>
      </w:r>
      <w:r w:rsidR="0069648B" w:rsidRPr="00DE6C46">
        <w:rPr>
          <w:rFonts w:cs="Arial"/>
          <w:szCs w:val="24"/>
        </w:rPr>
        <w:t xml:space="preserve">, </w:t>
      </w:r>
      <w:r w:rsidR="0032139D">
        <w:rPr>
          <w:rFonts w:cs="Arial"/>
          <w:szCs w:val="24"/>
        </w:rPr>
        <w:t>22</w:t>
      </w:r>
      <w:r w:rsidR="0032139D" w:rsidRPr="00DE6C46">
        <w:rPr>
          <w:rFonts w:cs="Arial"/>
          <w:szCs w:val="24"/>
        </w:rPr>
        <w:t>% were Muslim (1</w:t>
      </w:r>
      <w:r w:rsidR="0032139D">
        <w:rPr>
          <w:rFonts w:cs="Arial"/>
          <w:szCs w:val="24"/>
        </w:rPr>
        <w:t>7</w:t>
      </w:r>
      <w:r w:rsidR="0032139D" w:rsidRPr="00DE6C46">
        <w:rPr>
          <w:rFonts w:cs="Arial"/>
          <w:szCs w:val="24"/>
        </w:rPr>
        <w:t>%, 201</w:t>
      </w:r>
      <w:r w:rsidR="0032139D">
        <w:rPr>
          <w:rFonts w:cs="Arial"/>
          <w:szCs w:val="24"/>
        </w:rPr>
        <w:t>8</w:t>
      </w:r>
      <w:r w:rsidR="0032139D" w:rsidRPr="00DE6C46">
        <w:rPr>
          <w:rFonts w:cs="Arial"/>
          <w:szCs w:val="24"/>
        </w:rPr>
        <w:t>-1</w:t>
      </w:r>
      <w:r w:rsidR="0032139D">
        <w:rPr>
          <w:rFonts w:cs="Arial"/>
          <w:szCs w:val="24"/>
        </w:rPr>
        <w:t>9</w:t>
      </w:r>
      <w:r w:rsidR="0032139D" w:rsidRPr="00DE6C46">
        <w:rPr>
          <w:rFonts w:cs="Arial"/>
          <w:szCs w:val="24"/>
        </w:rPr>
        <w:t>)</w:t>
      </w:r>
      <w:r w:rsidR="0032139D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2</w:t>
      </w:r>
      <w:r w:rsidR="00C848E9">
        <w:rPr>
          <w:rFonts w:cs="Arial"/>
          <w:szCs w:val="24"/>
        </w:rPr>
        <w:t>1</w:t>
      </w:r>
      <w:r w:rsidRPr="00DE6C46">
        <w:rPr>
          <w:rFonts w:cs="Arial"/>
          <w:szCs w:val="24"/>
        </w:rPr>
        <w:t>% were Christian (2</w:t>
      </w:r>
      <w:r w:rsidR="008F06A8">
        <w:rPr>
          <w:rFonts w:cs="Arial"/>
          <w:szCs w:val="24"/>
        </w:rPr>
        <w:t>2</w:t>
      </w:r>
      <w:r w:rsidR="0069648B" w:rsidRPr="00DE6C46">
        <w:rPr>
          <w:rFonts w:cs="Arial"/>
          <w:szCs w:val="24"/>
        </w:rPr>
        <w:t>%, 201</w:t>
      </w:r>
      <w:r w:rsidR="008F06A8">
        <w:rPr>
          <w:rFonts w:cs="Arial"/>
          <w:szCs w:val="24"/>
        </w:rPr>
        <w:t>8</w:t>
      </w:r>
      <w:r w:rsidR="0069648B" w:rsidRPr="00DE6C46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="005F2A90">
        <w:rPr>
          <w:rFonts w:cs="Arial"/>
          <w:szCs w:val="24"/>
        </w:rPr>
        <w:t xml:space="preserve">), </w:t>
      </w:r>
      <w:r w:rsidR="00C848E9">
        <w:rPr>
          <w:rFonts w:cs="Arial"/>
          <w:szCs w:val="24"/>
        </w:rPr>
        <w:t>10</w:t>
      </w:r>
      <w:r w:rsidR="00665607">
        <w:rPr>
          <w:rFonts w:cs="Arial"/>
          <w:szCs w:val="24"/>
        </w:rPr>
        <w:t>% were Hindu (</w:t>
      </w:r>
      <w:r w:rsidR="008F06A8">
        <w:rPr>
          <w:rFonts w:cs="Arial"/>
          <w:szCs w:val="24"/>
        </w:rPr>
        <w:t>9</w:t>
      </w:r>
      <w:r w:rsidR="00665607">
        <w:rPr>
          <w:rFonts w:cs="Arial"/>
          <w:szCs w:val="24"/>
        </w:rPr>
        <w:t>%, 201</w:t>
      </w:r>
      <w:r w:rsidR="008F06A8">
        <w:rPr>
          <w:rFonts w:cs="Arial"/>
          <w:szCs w:val="24"/>
        </w:rPr>
        <w:t>8</w:t>
      </w:r>
      <w:r w:rsidR="00665607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="00665607">
        <w:rPr>
          <w:rFonts w:cs="Arial"/>
          <w:szCs w:val="24"/>
        </w:rPr>
        <w:t>)</w:t>
      </w:r>
      <w:r w:rsidR="00EB3C8B" w:rsidRPr="00DE6C46">
        <w:rPr>
          <w:rFonts w:cs="Arial"/>
          <w:szCs w:val="24"/>
        </w:rPr>
        <w:t>.</w:t>
      </w:r>
      <w:r w:rsidRPr="00DE6C46">
        <w:rPr>
          <w:rFonts w:cs="Arial"/>
          <w:szCs w:val="24"/>
        </w:rPr>
        <w:t xml:space="preserve"> </w:t>
      </w:r>
    </w:p>
    <w:p w:rsidR="00EB3C8B" w:rsidRPr="006B701F" w:rsidRDefault="008B207D" w:rsidP="00E13914">
      <w:pPr>
        <w:rPr>
          <w:rFonts w:cs="Arial"/>
          <w:szCs w:val="24"/>
        </w:rPr>
      </w:pPr>
      <w:r w:rsidRPr="006B701F">
        <w:rPr>
          <w:rFonts w:cs="Arial"/>
          <w:szCs w:val="24"/>
        </w:rPr>
        <w:t xml:space="preserve">Of those </w:t>
      </w:r>
      <w:r w:rsidR="00DE6C46" w:rsidRPr="006B701F">
        <w:rPr>
          <w:rFonts w:cs="Arial"/>
          <w:szCs w:val="24"/>
        </w:rPr>
        <w:t xml:space="preserve">academics </w:t>
      </w:r>
      <w:r w:rsidRPr="006B701F">
        <w:rPr>
          <w:rFonts w:cs="Arial"/>
          <w:b/>
          <w:szCs w:val="24"/>
        </w:rPr>
        <w:t>appointed</w:t>
      </w:r>
      <w:r w:rsidR="0069648B" w:rsidRPr="006B701F">
        <w:rPr>
          <w:rFonts w:cs="Arial"/>
          <w:szCs w:val="24"/>
        </w:rPr>
        <w:t xml:space="preserve">, </w:t>
      </w:r>
      <w:r w:rsidR="00E03598">
        <w:rPr>
          <w:rFonts w:cs="Arial"/>
          <w:szCs w:val="24"/>
        </w:rPr>
        <w:t>50</w:t>
      </w:r>
      <w:r w:rsidR="00DE6C46" w:rsidRPr="006B701F">
        <w:rPr>
          <w:rFonts w:cs="Arial"/>
          <w:szCs w:val="24"/>
        </w:rPr>
        <w:t xml:space="preserve">% </w:t>
      </w:r>
      <w:r w:rsidR="003266D3" w:rsidRPr="006B701F">
        <w:rPr>
          <w:rFonts w:cs="Arial"/>
          <w:szCs w:val="24"/>
        </w:rPr>
        <w:t>declar</w:t>
      </w:r>
      <w:r w:rsidR="005807F6" w:rsidRPr="006B701F">
        <w:rPr>
          <w:rFonts w:cs="Arial"/>
          <w:szCs w:val="24"/>
        </w:rPr>
        <w:t xml:space="preserve">ed that they had no religion </w:t>
      </w:r>
      <w:r w:rsidR="0069648B" w:rsidRPr="006B701F">
        <w:rPr>
          <w:rFonts w:cs="Arial"/>
          <w:szCs w:val="24"/>
        </w:rPr>
        <w:t>(</w:t>
      </w:r>
      <w:r w:rsidR="00DE6C46" w:rsidRPr="006B701F">
        <w:rPr>
          <w:rFonts w:cs="Arial"/>
          <w:szCs w:val="24"/>
        </w:rPr>
        <w:t>5</w:t>
      </w:r>
      <w:r w:rsidR="008F06A8">
        <w:rPr>
          <w:rFonts w:cs="Arial"/>
          <w:szCs w:val="24"/>
        </w:rPr>
        <w:t>0</w:t>
      </w:r>
      <w:r w:rsidR="00DE6C46" w:rsidRPr="006B701F">
        <w:rPr>
          <w:rFonts w:cs="Arial"/>
          <w:szCs w:val="24"/>
        </w:rPr>
        <w:t>%, 201</w:t>
      </w:r>
      <w:r w:rsidR="008F06A8">
        <w:rPr>
          <w:rFonts w:cs="Arial"/>
          <w:szCs w:val="24"/>
        </w:rPr>
        <w:t>8</w:t>
      </w:r>
      <w:r w:rsidR="0069648B" w:rsidRPr="006B701F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="0069648B" w:rsidRPr="006B701F">
        <w:rPr>
          <w:rFonts w:cs="Arial"/>
          <w:szCs w:val="24"/>
        </w:rPr>
        <w:t xml:space="preserve">), </w:t>
      </w:r>
      <w:r w:rsidR="00E03598">
        <w:rPr>
          <w:rFonts w:cs="Arial"/>
          <w:szCs w:val="24"/>
        </w:rPr>
        <w:t>2</w:t>
      </w:r>
      <w:r w:rsidR="00DB3243">
        <w:rPr>
          <w:rFonts w:cs="Arial"/>
          <w:szCs w:val="24"/>
        </w:rPr>
        <w:t>1</w:t>
      </w:r>
      <w:r w:rsidR="0069648B" w:rsidRPr="006B701F">
        <w:rPr>
          <w:rFonts w:cs="Arial"/>
          <w:szCs w:val="24"/>
        </w:rPr>
        <w:t xml:space="preserve">% </w:t>
      </w:r>
      <w:r w:rsidR="00DE6C46" w:rsidRPr="006B701F">
        <w:rPr>
          <w:rFonts w:cs="Arial"/>
          <w:szCs w:val="24"/>
        </w:rPr>
        <w:t xml:space="preserve">were </w:t>
      </w:r>
      <w:r w:rsidR="0069648B" w:rsidRPr="006B701F">
        <w:rPr>
          <w:rFonts w:cs="Arial"/>
          <w:szCs w:val="24"/>
        </w:rPr>
        <w:t>Christian (2</w:t>
      </w:r>
      <w:r w:rsidR="008F06A8">
        <w:rPr>
          <w:rFonts w:cs="Arial"/>
          <w:szCs w:val="24"/>
        </w:rPr>
        <w:t>2</w:t>
      </w:r>
      <w:r w:rsidR="00045966" w:rsidRPr="006B701F">
        <w:rPr>
          <w:rFonts w:cs="Arial"/>
          <w:szCs w:val="24"/>
        </w:rPr>
        <w:t>%, 201</w:t>
      </w:r>
      <w:r w:rsidR="008F06A8">
        <w:rPr>
          <w:rFonts w:cs="Arial"/>
          <w:szCs w:val="24"/>
        </w:rPr>
        <w:t>8</w:t>
      </w:r>
      <w:r w:rsidR="002C3C77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="00DE6C46" w:rsidRPr="006B701F">
        <w:rPr>
          <w:rFonts w:cs="Arial"/>
          <w:szCs w:val="24"/>
        </w:rPr>
        <w:t xml:space="preserve">) </w:t>
      </w:r>
      <w:r w:rsidR="006B701F" w:rsidRPr="006B701F">
        <w:rPr>
          <w:rFonts w:cs="Arial"/>
          <w:szCs w:val="24"/>
        </w:rPr>
        <w:t xml:space="preserve">and </w:t>
      </w:r>
      <w:r w:rsidR="00DB3243">
        <w:rPr>
          <w:rFonts w:cs="Arial"/>
          <w:szCs w:val="24"/>
        </w:rPr>
        <w:t>9</w:t>
      </w:r>
      <w:r w:rsidRPr="006B701F">
        <w:rPr>
          <w:rFonts w:cs="Arial"/>
          <w:szCs w:val="24"/>
        </w:rPr>
        <w:t xml:space="preserve">% were Muslim </w:t>
      </w:r>
      <w:r w:rsidR="006B701F" w:rsidRPr="006B701F">
        <w:rPr>
          <w:rFonts w:cs="Arial"/>
          <w:szCs w:val="24"/>
        </w:rPr>
        <w:t>(7</w:t>
      </w:r>
      <w:r w:rsidR="0069648B" w:rsidRPr="006B701F">
        <w:rPr>
          <w:rFonts w:cs="Arial"/>
          <w:szCs w:val="24"/>
        </w:rPr>
        <w:t>%, 201</w:t>
      </w:r>
      <w:r w:rsidR="008F06A8">
        <w:rPr>
          <w:rFonts w:cs="Arial"/>
          <w:szCs w:val="24"/>
        </w:rPr>
        <w:t>8</w:t>
      </w:r>
      <w:r w:rsidR="0069648B" w:rsidRPr="006B701F">
        <w:rPr>
          <w:rFonts w:cs="Arial"/>
          <w:szCs w:val="24"/>
        </w:rPr>
        <w:t>-1</w:t>
      </w:r>
      <w:r w:rsidR="008F06A8">
        <w:rPr>
          <w:rFonts w:cs="Arial"/>
          <w:szCs w:val="24"/>
        </w:rPr>
        <w:t>9</w:t>
      </w:r>
      <w:r w:rsidR="003266D3" w:rsidRPr="006B701F">
        <w:rPr>
          <w:rFonts w:cs="Arial"/>
          <w:szCs w:val="24"/>
        </w:rPr>
        <w:t>)</w:t>
      </w:r>
      <w:r w:rsidR="003E1450" w:rsidRPr="006B701F">
        <w:rPr>
          <w:rFonts w:cs="Arial"/>
          <w:szCs w:val="24"/>
        </w:rPr>
        <w:t>.</w:t>
      </w:r>
      <w:r w:rsidR="003266D3" w:rsidRPr="006B701F">
        <w:rPr>
          <w:rFonts w:cs="Arial"/>
          <w:szCs w:val="24"/>
        </w:rPr>
        <w:t xml:space="preserve"> </w:t>
      </w:r>
    </w:p>
    <w:p w:rsidR="002D60F5" w:rsidRPr="006B701F" w:rsidRDefault="004E71CD" w:rsidP="00E13914">
      <w:pPr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Of the </w:t>
      </w:r>
      <w:r w:rsidR="005125F3">
        <w:rPr>
          <w:rFonts w:eastAsia="Times New Roman" w:cs="Arial"/>
          <w:color w:val="000000"/>
          <w:szCs w:val="24"/>
          <w:lang w:eastAsia="en-GB"/>
        </w:rPr>
        <w:t>3</w:t>
      </w:r>
      <w:r>
        <w:rPr>
          <w:rFonts w:eastAsia="Times New Roman" w:cs="Arial"/>
          <w:color w:val="000000"/>
          <w:szCs w:val="24"/>
          <w:lang w:eastAsia="en-GB"/>
        </w:rPr>
        <w:t>7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 xml:space="preserve"> academ</w:t>
      </w:r>
      <w:r>
        <w:rPr>
          <w:rFonts w:eastAsia="Times New Roman" w:cs="Arial"/>
          <w:color w:val="000000"/>
          <w:szCs w:val="24"/>
          <w:lang w:eastAsia="en-GB"/>
        </w:rPr>
        <w:t xml:space="preserve">ic applicants who were Sikh, </w:t>
      </w:r>
      <w:r w:rsidR="005125F3">
        <w:rPr>
          <w:rFonts w:eastAsia="Times New Roman" w:cs="Arial"/>
          <w:color w:val="000000"/>
          <w:szCs w:val="24"/>
          <w:lang w:eastAsia="en-GB"/>
        </w:rPr>
        <w:t>three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 xml:space="preserve"> were interviewed and </w:t>
      </w:r>
      <w:r w:rsidR="005125F3">
        <w:rPr>
          <w:rFonts w:eastAsia="Times New Roman" w:cs="Arial"/>
          <w:color w:val="000000"/>
          <w:szCs w:val="24"/>
          <w:lang w:eastAsia="en-GB"/>
        </w:rPr>
        <w:t>none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 xml:space="preserve"> wer</w:t>
      </w:r>
      <w:r>
        <w:rPr>
          <w:rFonts w:eastAsia="Times New Roman" w:cs="Arial"/>
          <w:color w:val="000000"/>
          <w:szCs w:val="24"/>
          <w:lang w:eastAsia="en-GB"/>
        </w:rPr>
        <w:t xml:space="preserve">e appointed. </w:t>
      </w:r>
      <w:r w:rsidR="005125F3">
        <w:rPr>
          <w:rFonts w:eastAsia="Times New Roman" w:cs="Arial"/>
          <w:color w:val="000000"/>
          <w:szCs w:val="24"/>
          <w:lang w:eastAsia="en-GB"/>
        </w:rPr>
        <w:t>Of the 71</w:t>
      </w:r>
      <w:r w:rsidR="005125F3" w:rsidRPr="006B701F">
        <w:rPr>
          <w:rFonts w:eastAsia="Times New Roman" w:cs="Arial"/>
          <w:color w:val="000000"/>
          <w:szCs w:val="24"/>
          <w:lang w:eastAsia="en-GB"/>
        </w:rPr>
        <w:t xml:space="preserve"> academ</w:t>
      </w:r>
      <w:r w:rsidR="005125F3">
        <w:rPr>
          <w:rFonts w:eastAsia="Times New Roman" w:cs="Arial"/>
          <w:color w:val="000000"/>
          <w:szCs w:val="24"/>
          <w:lang w:eastAsia="en-GB"/>
        </w:rPr>
        <w:t>ic applicants who were Jewish, 12</w:t>
      </w:r>
      <w:r w:rsidR="005125F3" w:rsidRPr="006B701F">
        <w:rPr>
          <w:rFonts w:eastAsia="Times New Roman" w:cs="Arial"/>
          <w:color w:val="000000"/>
          <w:szCs w:val="24"/>
          <w:lang w:eastAsia="en-GB"/>
        </w:rPr>
        <w:t xml:space="preserve"> were interviewed and </w:t>
      </w:r>
      <w:r w:rsidR="005125F3">
        <w:rPr>
          <w:rFonts w:eastAsia="Times New Roman" w:cs="Arial"/>
          <w:color w:val="000000"/>
          <w:szCs w:val="24"/>
          <w:lang w:eastAsia="en-GB"/>
        </w:rPr>
        <w:t>one</w:t>
      </w:r>
      <w:r w:rsidR="005125F3" w:rsidRPr="006B701F">
        <w:rPr>
          <w:rFonts w:eastAsia="Times New Roman" w:cs="Arial"/>
          <w:color w:val="000000"/>
          <w:szCs w:val="24"/>
          <w:lang w:eastAsia="en-GB"/>
        </w:rPr>
        <w:t xml:space="preserve"> w</w:t>
      </w:r>
      <w:r w:rsidR="005125F3">
        <w:rPr>
          <w:rFonts w:eastAsia="Times New Roman" w:cs="Arial"/>
          <w:color w:val="000000"/>
          <w:szCs w:val="24"/>
          <w:lang w:eastAsia="en-GB"/>
        </w:rPr>
        <w:t xml:space="preserve">as appointed. </w:t>
      </w:r>
      <w:r>
        <w:rPr>
          <w:rFonts w:eastAsia="Times New Roman" w:cs="Arial"/>
          <w:color w:val="000000"/>
          <w:szCs w:val="24"/>
          <w:lang w:eastAsia="en-GB"/>
        </w:rPr>
        <w:t>However, the Sikh applicants,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 xml:space="preserve"> interviewees and appointments </w:t>
      </w:r>
      <w:r w:rsidR="00C04EA1">
        <w:rPr>
          <w:rFonts w:eastAsia="Times New Roman" w:cs="Arial"/>
          <w:color w:val="000000"/>
          <w:szCs w:val="24"/>
          <w:lang w:eastAsia="en-GB"/>
        </w:rPr>
        <w:t xml:space="preserve">and the Jewish appointments 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>d</w:t>
      </w:r>
      <w:r w:rsidR="00171DE8">
        <w:rPr>
          <w:rFonts w:eastAsia="Times New Roman" w:cs="Arial"/>
          <w:color w:val="000000"/>
          <w:szCs w:val="24"/>
          <w:lang w:eastAsia="en-GB"/>
        </w:rPr>
        <w:t>o not show in the above chart or</w:t>
      </w:r>
      <w:r w:rsidR="006B701F" w:rsidRPr="006B701F">
        <w:rPr>
          <w:rFonts w:eastAsia="Times New Roman" w:cs="Arial"/>
          <w:color w:val="000000"/>
          <w:szCs w:val="24"/>
          <w:lang w:eastAsia="en-GB"/>
        </w:rPr>
        <w:t xml:space="preserve"> table due to the rounding of data to the nearest whole percent. </w:t>
      </w:r>
    </w:p>
    <w:p w:rsidR="00053623" w:rsidRPr="00DE6C46" w:rsidRDefault="00053623" w:rsidP="00E13914">
      <w:pPr>
        <w:rPr>
          <w:rFonts w:cs="Arial"/>
          <w:szCs w:val="24"/>
          <w:highlight w:val="red"/>
        </w:rPr>
      </w:pPr>
    </w:p>
    <w:p w:rsidR="004337E6" w:rsidRPr="009B7860" w:rsidRDefault="00833770" w:rsidP="00E13914">
      <w:pPr>
        <w:pStyle w:val="Heading2"/>
      </w:pPr>
      <w:bookmarkStart w:id="10" w:name="_Toc62751151"/>
      <w:r>
        <w:lastRenderedPageBreak/>
        <w:t>Sexual o</w:t>
      </w:r>
      <w:r w:rsidR="004337E6" w:rsidRPr="009B7860">
        <w:t>rientation</w:t>
      </w:r>
      <w:bookmarkEnd w:id="10"/>
      <w:r w:rsidR="004337E6" w:rsidRPr="009B7860">
        <w:t xml:space="preserve"> </w:t>
      </w:r>
    </w:p>
    <w:p w:rsidR="003266D3" w:rsidRDefault="003266D3" w:rsidP="00E13914">
      <w:pPr>
        <w:spacing w:line="360" w:lineRule="auto"/>
        <w:rPr>
          <w:highlight w:val="red"/>
        </w:rPr>
      </w:pPr>
    </w:p>
    <w:p w:rsidR="007C6482" w:rsidRPr="007C6482" w:rsidRDefault="000308B2" w:rsidP="00E13914">
      <w:pPr>
        <w:spacing w:line="360" w:lineRule="auto"/>
        <w:rPr>
          <w:highlight w:val="red"/>
        </w:rPr>
      </w:pPr>
      <w:r>
        <w:rPr>
          <w:noProof/>
          <w:lang w:eastAsia="en-GB"/>
        </w:rPr>
        <w:drawing>
          <wp:inline distT="0" distB="0" distL="0" distR="0" wp14:anchorId="1C52AE77" wp14:editId="3CE48F28">
            <wp:extent cx="6486525" cy="30956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  <w:tblCaption w:val="Academic Staff Recruitment by Sexual Orientation"/>
        <w:tblDescription w:val="Table showing the percentage of academic staff recruitment (applicants, interviewed and appointed) by sexual orientation 2018-19. Categories include bisexual, gay man, game woman/lesbian, heterosexual, other, prefer not to answer and unknown."/>
      </w:tblPr>
      <w:tblGrid>
        <w:gridCol w:w="1560"/>
        <w:gridCol w:w="1276"/>
        <w:gridCol w:w="1276"/>
        <w:gridCol w:w="1134"/>
        <w:gridCol w:w="1842"/>
        <w:gridCol w:w="993"/>
        <w:gridCol w:w="1134"/>
        <w:gridCol w:w="1417"/>
      </w:tblGrid>
      <w:tr w:rsidR="007C6482" w:rsidRPr="007C6482" w:rsidTr="00A4000E">
        <w:trPr>
          <w:trHeight w:val="12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Bisexual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Gay 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Gay woman/</w:t>
            </w: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lesbian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82" w:rsidRPr="00A4000E" w:rsidRDefault="00B80396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Heterosexual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Prefer not</w:t>
            </w: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 xml:space="preserve"> to answer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7C6482" w:rsidRPr="007C6482" w:rsidTr="00A4000E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B80396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79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1965CC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C449CD">
              <w:rPr>
                <w:rFonts w:eastAsia="Times New Roman"/>
                <w:color w:val="000000"/>
                <w:lang w:eastAsia="en-GB"/>
              </w:rPr>
              <w:t>2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995DAA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7C6482" w:rsidRPr="007C6482" w:rsidTr="00A4000E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B80396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995DAA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7C6482" w:rsidRPr="007C6482" w:rsidTr="00A4000E">
        <w:trPr>
          <w:trHeight w:val="315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B80396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8</w:t>
            </w:r>
            <w:r w:rsidR="00C449CD">
              <w:rPr>
                <w:rFonts w:eastAsia="Times New Roman"/>
                <w:color w:val="000000"/>
                <w:lang w:eastAsia="en-GB"/>
              </w:rPr>
              <w:t>3</w:t>
            </w:r>
            <w:r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1965CC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C449CD"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2%</w:t>
            </w:r>
          </w:p>
        </w:tc>
      </w:tr>
    </w:tbl>
    <w:p w:rsidR="003266D3" w:rsidRPr="00DD3635" w:rsidRDefault="003266D3" w:rsidP="00E13914">
      <w:pPr>
        <w:spacing w:line="360" w:lineRule="auto"/>
        <w:rPr>
          <w:highlight w:val="red"/>
        </w:rPr>
      </w:pPr>
    </w:p>
    <w:p w:rsidR="00557F0E" w:rsidRPr="00E13914" w:rsidRDefault="00557F0E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:rsidR="00015813" w:rsidRDefault="007A7359" w:rsidP="00E13914">
      <w:pPr>
        <w:spacing w:line="360" w:lineRule="auto"/>
        <w:rPr>
          <w:szCs w:val="24"/>
        </w:rPr>
      </w:pPr>
      <w:r>
        <w:rPr>
          <w:szCs w:val="24"/>
        </w:rPr>
        <w:t>During the academic year 201</w:t>
      </w:r>
      <w:r w:rsidR="001825FB">
        <w:rPr>
          <w:szCs w:val="24"/>
        </w:rPr>
        <w:t>9</w:t>
      </w:r>
      <w:r>
        <w:rPr>
          <w:szCs w:val="24"/>
        </w:rPr>
        <w:t>-</w:t>
      </w:r>
      <w:r w:rsidR="001825FB">
        <w:rPr>
          <w:szCs w:val="24"/>
        </w:rPr>
        <w:t>20</w:t>
      </w:r>
      <w:r w:rsidR="008D5583">
        <w:rPr>
          <w:szCs w:val="24"/>
        </w:rPr>
        <w:t>, 7</w:t>
      </w:r>
      <w:r w:rsidR="002F7D01" w:rsidRPr="009B7860">
        <w:rPr>
          <w:szCs w:val="24"/>
        </w:rPr>
        <w:t>% of</w:t>
      </w:r>
      <w:r w:rsidR="00015813">
        <w:rPr>
          <w:szCs w:val="24"/>
        </w:rPr>
        <w:t xml:space="preserve"> academic</w:t>
      </w:r>
      <w:r w:rsidR="002F7D01" w:rsidRPr="009B7860">
        <w:rPr>
          <w:szCs w:val="24"/>
        </w:rPr>
        <w:t xml:space="preserve"> </w:t>
      </w:r>
      <w:r w:rsidR="002F7D01" w:rsidRPr="00A4000E">
        <w:rPr>
          <w:b/>
          <w:szCs w:val="24"/>
        </w:rPr>
        <w:t>applicants</w:t>
      </w:r>
      <w:r w:rsidR="002F7D01" w:rsidRPr="009B7860">
        <w:rPr>
          <w:szCs w:val="24"/>
        </w:rPr>
        <w:t xml:space="preserve"> stated they were ei</w:t>
      </w:r>
      <w:r w:rsidR="003E1450" w:rsidRPr="009B7860">
        <w:rPr>
          <w:szCs w:val="24"/>
        </w:rPr>
        <w:t>ther ga</w:t>
      </w:r>
      <w:r w:rsidR="004B6264">
        <w:rPr>
          <w:szCs w:val="24"/>
        </w:rPr>
        <w:t>y, lesbian or bisexual (</w:t>
      </w:r>
      <w:r w:rsidR="001825FB">
        <w:rPr>
          <w:szCs w:val="24"/>
        </w:rPr>
        <w:t>7</w:t>
      </w:r>
      <w:r w:rsidR="00BD2AEB" w:rsidRPr="009B7860">
        <w:rPr>
          <w:szCs w:val="24"/>
        </w:rPr>
        <w:t>%, 201</w:t>
      </w:r>
      <w:r w:rsidR="001825FB">
        <w:rPr>
          <w:szCs w:val="24"/>
        </w:rPr>
        <w:t>8</w:t>
      </w:r>
      <w:r w:rsidR="00015813">
        <w:rPr>
          <w:szCs w:val="24"/>
        </w:rPr>
        <w:t>-1</w:t>
      </w:r>
      <w:r w:rsidR="001825FB">
        <w:rPr>
          <w:szCs w:val="24"/>
        </w:rPr>
        <w:t>9</w:t>
      </w:r>
      <w:r w:rsidR="002F7D01" w:rsidRPr="009B7860">
        <w:rPr>
          <w:szCs w:val="24"/>
        </w:rPr>
        <w:t xml:space="preserve">). </w:t>
      </w:r>
    </w:p>
    <w:p w:rsidR="00557F0E" w:rsidRPr="009B7860" w:rsidRDefault="00557F0E" w:rsidP="00E13914">
      <w:pPr>
        <w:spacing w:line="360" w:lineRule="auto"/>
        <w:rPr>
          <w:szCs w:val="24"/>
        </w:rPr>
      </w:pPr>
      <w:r w:rsidRPr="009B7860">
        <w:rPr>
          <w:szCs w:val="24"/>
        </w:rPr>
        <w:t>Of those</w:t>
      </w:r>
      <w:r w:rsidR="00015813">
        <w:rPr>
          <w:szCs w:val="24"/>
        </w:rPr>
        <w:t xml:space="preserve"> academics</w:t>
      </w:r>
      <w:r w:rsidRPr="009B7860">
        <w:rPr>
          <w:szCs w:val="24"/>
        </w:rPr>
        <w:t xml:space="preserve"> </w:t>
      </w:r>
      <w:r w:rsidRPr="00A4000E">
        <w:rPr>
          <w:b/>
          <w:szCs w:val="24"/>
        </w:rPr>
        <w:t>appointed</w:t>
      </w:r>
      <w:r w:rsidR="00015813">
        <w:rPr>
          <w:szCs w:val="24"/>
        </w:rPr>
        <w:t xml:space="preserve"> </w:t>
      </w:r>
      <w:r w:rsidR="00015813" w:rsidRPr="00015813">
        <w:rPr>
          <w:szCs w:val="24"/>
        </w:rPr>
        <w:t>in 201</w:t>
      </w:r>
      <w:r w:rsidR="001825FB">
        <w:rPr>
          <w:szCs w:val="24"/>
        </w:rPr>
        <w:t>9</w:t>
      </w:r>
      <w:r w:rsidR="007A7359">
        <w:rPr>
          <w:szCs w:val="24"/>
        </w:rPr>
        <w:t>-</w:t>
      </w:r>
      <w:r w:rsidR="001825FB">
        <w:rPr>
          <w:szCs w:val="24"/>
        </w:rPr>
        <w:t>20</w:t>
      </w:r>
      <w:r w:rsidR="00BD2AEB" w:rsidRPr="009B7860">
        <w:rPr>
          <w:szCs w:val="24"/>
        </w:rPr>
        <w:t xml:space="preserve">, </w:t>
      </w:r>
      <w:r w:rsidR="00EE76D4">
        <w:rPr>
          <w:szCs w:val="24"/>
        </w:rPr>
        <w:t>3</w:t>
      </w:r>
      <w:r w:rsidRPr="009B7860">
        <w:rPr>
          <w:szCs w:val="24"/>
        </w:rPr>
        <w:t xml:space="preserve">% stated they </w:t>
      </w:r>
      <w:r w:rsidR="002E5329" w:rsidRPr="009B7860">
        <w:rPr>
          <w:szCs w:val="24"/>
        </w:rPr>
        <w:t>were</w:t>
      </w:r>
      <w:r w:rsidR="002F7D01" w:rsidRPr="009B7860">
        <w:rPr>
          <w:szCs w:val="24"/>
        </w:rPr>
        <w:t xml:space="preserve"> either </w:t>
      </w:r>
      <w:r w:rsidR="00BD2AEB" w:rsidRPr="009B7860">
        <w:rPr>
          <w:szCs w:val="24"/>
        </w:rPr>
        <w:t>gay, lesbian or bisexual (</w:t>
      </w:r>
      <w:r w:rsidR="001825FB">
        <w:rPr>
          <w:szCs w:val="24"/>
        </w:rPr>
        <w:t>5</w:t>
      </w:r>
      <w:r w:rsidR="00BD2AEB" w:rsidRPr="009B7860">
        <w:rPr>
          <w:szCs w:val="24"/>
        </w:rPr>
        <w:t>%, 201</w:t>
      </w:r>
      <w:r w:rsidR="001825FB">
        <w:rPr>
          <w:szCs w:val="24"/>
        </w:rPr>
        <w:t>8</w:t>
      </w:r>
      <w:r w:rsidR="007A7359">
        <w:rPr>
          <w:szCs w:val="24"/>
        </w:rPr>
        <w:t>-1</w:t>
      </w:r>
      <w:r w:rsidR="001825FB">
        <w:rPr>
          <w:szCs w:val="24"/>
        </w:rPr>
        <w:t>9</w:t>
      </w:r>
      <w:r w:rsidRPr="009B7860">
        <w:rPr>
          <w:szCs w:val="24"/>
        </w:rPr>
        <w:t>).</w:t>
      </w:r>
    </w:p>
    <w:p w:rsidR="005F1208" w:rsidRPr="00850E15" w:rsidRDefault="00EE76D4" w:rsidP="00E13914">
      <w:pPr>
        <w:spacing w:line="360" w:lineRule="auto"/>
      </w:pPr>
      <w:r>
        <w:rPr>
          <w:szCs w:val="24"/>
        </w:rPr>
        <w:t>2</w:t>
      </w:r>
      <w:r w:rsidR="00B82EAA">
        <w:rPr>
          <w:szCs w:val="24"/>
        </w:rPr>
        <w:t xml:space="preserve">% of academic </w:t>
      </w:r>
      <w:r w:rsidR="00B82EAA" w:rsidRPr="00A4000E">
        <w:rPr>
          <w:b/>
          <w:szCs w:val="24"/>
        </w:rPr>
        <w:t>applicants</w:t>
      </w:r>
      <w:r w:rsidR="00B82EAA">
        <w:rPr>
          <w:szCs w:val="24"/>
        </w:rPr>
        <w:t xml:space="preserve"> </w:t>
      </w:r>
      <w:r w:rsidR="00B82EAA" w:rsidRPr="00B82EAA">
        <w:rPr>
          <w:szCs w:val="24"/>
        </w:rPr>
        <w:t>(1%</w:t>
      </w:r>
      <w:r w:rsidR="00B82EAA">
        <w:rPr>
          <w:szCs w:val="24"/>
        </w:rPr>
        <w:t>,</w:t>
      </w:r>
      <w:r w:rsidR="00B82EAA" w:rsidRPr="00B82EAA">
        <w:rPr>
          <w:szCs w:val="24"/>
        </w:rPr>
        <w:t xml:space="preserve"> 201</w:t>
      </w:r>
      <w:r w:rsidR="001825FB">
        <w:rPr>
          <w:szCs w:val="24"/>
        </w:rPr>
        <w:t>8</w:t>
      </w:r>
      <w:r w:rsidR="007A7359">
        <w:rPr>
          <w:szCs w:val="24"/>
        </w:rPr>
        <w:t>-1</w:t>
      </w:r>
      <w:r w:rsidR="001825FB">
        <w:rPr>
          <w:szCs w:val="24"/>
        </w:rPr>
        <w:t>9</w:t>
      </w:r>
      <w:r w:rsidR="00B82EAA" w:rsidRPr="00B82EAA">
        <w:rPr>
          <w:szCs w:val="24"/>
        </w:rPr>
        <w:t>),</w:t>
      </w:r>
      <w:r w:rsidR="00B82EAA">
        <w:rPr>
          <w:szCs w:val="24"/>
        </w:rPr>
        <w:t xml:space="preserve">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interviewees</w:t>
      </w:r>
      <w:r w:rsidR="007A7359">
        <w:rPr>
          <w:szCs w:val="24"/>
        </w:rPr>
        <w:t xml:space="preserve"> (1%, 201</w:t>
      </w:r>
      <w:r w:rsidR="001825FB">
        <w:rPr>
          <w:szCs w:val="24"/>
        </w:rPr>
        <w:t>8</w:t>
      </w:r>
      <w:r w:rsidR="007A7359">
        <w:rPr>
          <w:szCs w:val="24"/>
        </w:rPr>
        <w:t>-1</w:t>
      </w:r>
      <w:r w:rsidR="001825FB">
        <w:rPr>
          <w:szCs w:val="24"/>
        </w:rPr>
        <w:t>9</w:t>
      </w:r>
      <w:r w:rsidR="00B82EAA">
        <w:rPr>
          <w:szCs w:val="24"/>
        </w:rPr>
        <w:t xml:space="preserve">) and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appointments</w:t>
      </w:r>
      <w:r w:rsidR="00B82EAA">
        <w:rPr>
          <w:szCs w:val="24"/>
        </w:rPr>
        <w:t xml:space="preserve"> </w:t>
      </w:r>
      <w:r w:rsidR="004B6264">
        <w:rPr>
          <w:szCs w:val="24"/>
        </w:rPr>
        <w:t>(1</w:t>
      </w:r>
      <w:r w:rsidR="00B82EAA" w:rsidRPr="00B82EAA">
        <w:rPr>
          <w:szCs w:val="24"/>
        </w:rPr>
        <w:t>%</w:t>
      </w:r>
      <w:r w:rsidR="00B82EAA">
        <w:rPr>
          <w:szCs w:val="24"/>
        </w:rPr>
        <w:t>,</w:t>
      </w:r>
      <w:r w:rsidR="007A7359">
        <w:rPr>
          <w:szCs w:val="24"/>
        </w:rPr>
        <w:t xml:space="preserve"> 201</w:t>
      </w:r>
      <w:r w:rsidR="001825FB">
        <w:rPr>
          <w:szCs w:val="24"/>
        </w:rPr>
        <w:t>8</w:t>
      </w:r>
      <w:r w:rsidR="007A7359">
        <w:rPr>
          <w:szCs w:val="24"/>
        </w:rPr>
        <w:t>-1</w:t>
      </w:r>
      <w:r w:rsidR="001825FB">
        <w:rPr>
          <w:szCs w:val="24"/>
        </w:rPr>
        <w:t>9</w:t>
      </w:r>
      <w:r w:rsidR="00B82EAA">
        <w:rPr>
          <w:szCs w:val="24"/>
        </w:rPr>
        <w:t xml:space="preserve">) </w:t>
      </w:r>
      <w:r w:rsidR="009D72B5">
        <w:rPr>
          <w:szCs w:val="24"/>
        </w:rPr>
        <w:t>declared</w:t>
      </w:r>
      <w:r w:rsidR="00B82EAA">
        <w:rPr>
          <w:szCs w:val="24"/>
        </w:rPr>
        <w:t xml:space="preserve"> their sexual orientation as Other. </w:t>
      </w:r>
    </w:p>
    <w:sectPr w:rsidR="005F1208" w:rsidRPr="00850E15" w:rsidSect="00300F41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A6" w:rsidRDefault="00574BA6" w:rsidP="00646B44">
      <w:pPr>
        <w:spacing w:after="0" w:line="240" w:lineRule="auto"/>
      </w:pPr>
      <w:r>
        <w:separator/>
      </w:r>
    </w:p>
  </w:endnote>
  <w:endnote w:type="continuationSeparator" w:id="0">
    <w:p w:rsidR="00574BA6" w:rsidRDefault="00574BA6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4235"/>
      <w:docPartObj>
        <w:docPartGallery w:val="Page Numbers (Bottom of Page)"/>
        <w:docPartUnique/>
      </w:docPartObj>
    </w:sdtPr>
    <w:sdtEndPr/>
    <w:sdtContent>
      <w:p w:rsidR="008D41B1" w:rsidRDefault="00BD1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41B1" w:rsidRDefault="008D4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A6" w:rsidRDefault="00574BA6" w:rsidP="00646B44">
      <w:pPr>
        <w:spacing w:after="0" w:line="240" w:lineRule="auto"/>
      </w:pPr>
      <w:r>
        <w:separator/>
      </w:r>
    </w:p>
  </w:footnote>
  <w:footnote w:type="continuationSeparator" w:id="0">
    <w:p w:rsidR="00574BA6" w:rsidRDefault="00574BA6" w:rsidP="00646B44">
      <w:pPr>
        <w:spacing w:after="0" w:line="240" w:lineRule="auto"/>
      </w:pPr>
      <w:r>
        <w:continuationSeparator/>
      </w:r>
    </w:p>
  </w:footnote>
  <w:footnote w:id="1">
    <w:p w:rsidR="00EE2F0C" w:rsidRPr="00E13914" w:rsidRDefault="00850E15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‘</w:t>
      </w:r>
      <w:r w:rsidRPr="00E13914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:rsidR="00761A9C" w:rsidRPr="00971FAE" w:rsidRDefault="00761A9C" w:rsidP="00A4000E">
      <w:pPr>
        <w:rPr>
          <w:rFonts w:cs="Arial"/>
          <w:sz w:val="18"/>
          <w:szCs w:val="18"/>
        </w:rPr>
      </w:pPr>
      <w:r w:rsidRPr="00E13914">
        <w:rPr>
          <w:rStyle w:val="FootnoteReference"/>
          <w:szCs w:val="24"/>
        </w:rPr>
        <w:footnoteRef/>
      </w:r>
      <w:r w:rsidRPr="00E13914">
        <w:rPr>
          <w:szCs w:val="24"/>
        </w:rPr>
        <w:t xml:space="preserve"> </w:t>
      </w:r>
      <w:r w:rsidR="008320AC" w:rsidRPr="008320AC">
        <w:rPr>
          <w:szCs w:val="24"/>
        </w:rPr>
        <w:t xml:space="preserve">Defined as: caring for one or more children, one or more disabled children, a disabled adult, an older person, or another adult </w:t>
      </w:r>
    </w:p>
  </w:footnote>
  <w:footnote w:id="3">
    <w:p w:rsidR="008D41B1" w:rsidRPr="00E13914" w:rsidRDefault="008D41B1" w:rsidP="00784ECD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</w:t>
      </w:r>
      <w:r w:rsidR="005B727A" w:rsidRPr="00E13914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</w:t>
      </w:r>
      <w:r w:rsidR="004C05FD" w:rsidRPr="00E13914">
        <w:rPr>
          <w:rFonts w:cs="Arial"/>
          <w:sz w:val="24"/>
          <w:szCs w:val="24"/>
        </w:rPr>
        <w:t>n a person’s ability to carry out</w:t>
      </w:r>
      <w:r w:rsidR="005B727A" w:rsidRPr="00E13914">
        <w:rPr>
          <w:rFonts w:cs="Arial"/>
          <w:sz w:val="24"/>
          <w:szCs w:val="24"/>
        </w:rPr>
        <w:t xml:space="preserve"> normal daily activities</w:t>
      </w:r>
      <w:r w:rsidR="005B727A" w:rsidRPr="00E13914">
        <w:rPr>
          <w:sz w:val="24"/>
          <w:szCs w:val="24"/>
        </w:rPr>
        <w:t>.</w:t>
      </w:r>
    </w:p>
    <w:p w:rsidR="008D41B1" w:rsidRDefault="008D4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3AE4"/>
    <w:rsid w:val="00012324"/>
    <w:rsid w:val="0001250D"/>
    <w:rsid w:val="00015813"/>
    <w:rsid w:val="000304E3"/>
    <w:rsid w:val="000308B2"/>
    <w:rsid w:val="00030970"/>
    <w:rsid w:val="00030CA1"/>
    <w:rsid w:val="00032408"/>
    <w:rsid w:val="00032D40"/>
    <w:rsid w:val="000340CE"/>
    <w:rsid w:val="00045966"/>
    <w:rsid w:val="000517E8"/>
    <w:rsid w:val="000534FB"/>
    <w:rsid w:val="00053623"/>
    <w:rsid w:val="00080501"/>
    <w:rsid w:val="00084210"/>
    <w:rsid w:val="000875AB"/>
    <w:rsid w:val="00087C4F"/>
    <w:rsid w:val="00092BAA"/>
    <w:rsid w:val="000C2E49"/>
    <w:rsid w:val="000C3BA3"/>
    <w:rsid w:val="000C40A2"/>
    <w:rsid w:val="000C4E00"/>
    <w:rsid w:val="000E3EFD"/>
    <w:rsid w:val="00100082"/>
    <w:rsid w:val="00100B96"/>
    <w:rsid w:val="00104284"/>
    <w:rsid w:val="00107331"/>
    <w:rsid w:val="0013102B"/>
    <w:rsid w:val="00134343"/>
    <w:rsid w:val="001365E5"/>
    <w:rsid w:val="001366A6"/>
    <w:rsid w:val="00136FA7"/>
    <w:rsid w:val="00144F8D"/>
    <w:rsid w:val="00171DE8"/>
    <w:rsid w:val="0017765F"/>
    <w:rsid w:val="001825FB"/>
    <w:rsid w:val="00193200"/>
    <w:rsid w:val="00194DD6"/>
    <w:rsid w:val="00195F39"/>
    <w:rsid w:val="001965CC"/>
    <w:rsid w:val="001973AA"/>
    <w:rsid w:val="001A2EE3"/>
    <w:rsid w:val="001A5006"/>
    <w:rsid w:val="001A6E93"/>
    <w:rsid w:val="001A72B8"/>
    <w:rsid w:val="001B37D5"/>
    <w:rsid w:val="001C011C"/>
    <w:rsid w:val="001C6B55"/>
    <w:rsid w:val="001D3F32"/>
    <w:rsid w:val="001D6695"/>
    <w:rsid w:val="001E4805"/>
    <w:rsid w:val="00200471"/>
    <w:rsid w:val="00201CFE"/>
    <w:rsid w:val="00206861"/>
    <w:rsid w:val="00217DB0"/>
    <w:rsid w:val="00222C60"/>
    <w:rsid w:val="0022423F"/>
    <w:rsid w:val="00225AEE"/>
    <w:rsid w:val="00231387"/>
    <w:rsid w:val="0023443A"/>
    <w:rsid w:val="00234E3F"/>
    <w:rsid w:val="00244376"/>
    <w:rsid w:val="00245278"/>
    <w:rsid w:val="00245742"/>
    <w:rsid w:val="00254001"/>
    <w:rsid w:val="002547BE"/>
    <w:rsid w:val="00256BAA"/>
    <w:rsid w:val="00262420"/>
    <w:rsid w:val="00290FC5"/>
    <w:rsid w:val="002A2653"/>
    <w:rsid w:val="002A29AC"/>
    <w:rsid w:val="002A50B1"/>
    <w:rsid w:val="002A5628"/>
    <w:rsid w:val="002C0E3F"/>
    <w:rsid w:val="002C337F"/>
    <w:rsid w:val="002C3C77"/>
    <w:rsid w:val="002C442E"/>
    <w:rsid w:val="002D3511"/>
    <w:rsid w:val="002D60F5"/>
    <w:rsid w:val="002D67B1"/>
    <w:rsid w:val="002E39A0"/>
    <w:rsid w:val="002E507E"/>
    <w:rsid w:val="002E5198"/>
    <w:rsid w:val="002E5329"/>
    <w:rsid w:val="002F7D01"/>
    <w:rsid w:val="00300F41"/>
    <w:rsid w:val="00303C20"/>
    <w:rsid w:val="00304406"/>
    <w:rsid w:val="00305F34"/>
    <w:rsid w:val="00313A18"/>
    <w:rsid w:val="00320699"/>
    <w:rsid w:val="0032139D"/>
    <w:rsid w:val="003265D5"/>
    <w:rsid w:val="003266D3"/>
    <w:rsid w:val="00332DC1"/>
    <w:rsid w:val="00361E47"/>
    <w:rsid w:val="00365596"/>
    <w:rsid w:val="0037542A"/>
    <w:rsid w:val="003832E7"/>
    <w:rsid w:val="00384B2B"/>
    <w:rsid w:val="00385153"/>
    <w:rsid w:val="003907C6"/>
    <w:rsid w:val="0039171E"/>
    <w:rsid w:val="0039410F"/>
    <w:rsid w:val="003B5306"/>
    <w:rsid w:val="003C40F8"/>
    <w:rsid w:val="003D0CAC"/>
    <w:rsid w:val="003E1450"/>
    <w:rsid w:val="003F41AC"/>
    <w:rsid w:val="003F79B0"/>
    <w:rsid w:val="0040274F"/>
    <w:rsid w:val="00402A62"/>
    <w:rsid w:val="00404BC9"/>
    <w:rsid w:val="00406F91"/>
    <w:rsid w:val="0042616B"/>
    <w:rsid w:val="004337E6"/>
    <w:rsid w:val="004377EA"/>
    <w:rsid w:val="0045148C"/>
    <w:rsid w:val="00463233"/>
    <w:rsid w:val="00470592"/>
    <w:rsid w:val="00471162"/>
    <w:rsid w:val="00471E32"/>
    <w:rsid w:val="00475090"/>
    <w:rsid w:val="0049003E"/>
    <w:rsid w:val="00495A66"/>
    <w:rsid w:val="004B3267"/>
    <w:rsid w:val="004B6264"/>
    <w:rsid w:val="004B7590"/>
    <w:rsid w:val="004C05FD"/>
    <w:rsid w:val="004C56EB"/>
    <w:rsid w:val="004D3B55"/>
    <w:rsid w:val="004E71CD"/>
    <w:rsid w:val="004F3134"/>
    <w:rsid w:val="00503AD7"/>
    <w:rsid w:val="00504701"/>
    <w:rsid w:val="005125F3"/>
    <w:rsid w:val="00513274"/>
    <w:rsid w:val="00515E9D"/>
    <w:rsid w:val="00520AAA"/>
    <w:rsid w:val="005217E9"/>
    <w:rsid w:val="0052687A"/>
    <w:rsid w:val="005273F7"/>
    <w:rsid w:val="005276F2"/>
    <w:rsid w:val="005471E4"/>
    <w:rsid w:val="00550ED3"/>
    <w:rsid w:val="00557148"/>
    <w:rsid w:val="00557F0E"/>
    <w:rsid w:val="00562A6C"/>
    <w:rsid w:val="005641D6"/>
    <w:rsid w:val="00564293"/>
    <w:rsid w:val="00574BA6"/>
    <w:rsid w:val="005807F6"/>
    <w:rsid w:val="0058218E"/>
    <w:rsid w:val="00587A0A"/>
    <w:rsid w:val="00591B55"/>
    <w:rsid w:val="0059252C"/>
    <w:rsid w:val="00594C1A"/>
    <w:rsid w:val="005A50B1"/>
    <w:rsid w:val="005A6AB7"/>
    <w:rsid w:val="005A7410"/>
    <w:rsid w:val="005B4B9C"/>
    <w:rsid w:val="005B727A"/>
    <w:rsid w:val="005C7EB9"/>
    <w:rsid w:val="005D28E7"/>
    <w:rsid w:val="005D3EFE"/>
    <w:rsid w:val="005D4AA5"/>
    <w:rsid w:val="005D4E65"/>
    <w:rsid w:val="005E4074"/>
    <w:rsid w:val="005F02D7"/>
    <w:rsid w:val="005F1208"/>
    <w:rsid w:val="005F2A90"/>
    <w:rsid w:val="005F5BD5"/>
    <w:rsid w:val="005F6130"/>
    <w:rsid w:val="005F681D"/>
    <w:rsid w:val="00607484"/>
    <w:rsid w:val="00615759"/>
    <w:rsid w:val="00616673"/>
    <w:rsid w:val="00617E28"/>
    <w:rsid w:val="00620924"/>
    <w:rsid w:val="00620EB3"/>
    <w:rsid w:val="0062139E"/>
    <w:rsid w:val="006232F9"/>
    <w:rsid w:val="00625775"/>
    <w:rsid w:val="0063286E"/>
    <w:rsid w:val="00634460"/>
    <w:rsid w:val="00636985"/>
    <w:rsid w:val="00637DBF"/>
    <w:rsid w:val="00646B44"/>
    <w:rsid w:val="006549FA"/>
    <w:rsid w:val="006562D9"/>
    <w:rsid w:val="0066136E"/>
    <w:rsid w:val="00663156"/>
    <w:rsid w:val="00663D9C"/>
    <w:rsid w:val="006650EA"/>
    <w:rsid w:val="00665607"/>
    <w:rsid w:val="0067003C"/>
    <w:rsid w:val="0067065F"/>
    <w:rsid w:val="00672ECC"/>
    <w:rsid w:val="0067538F"/>
    <w:rsid w:val="00682E55"/>
    <w:rsid w:val="006857CB"/>
    <w:rsid w:val="00690E9E"/>
    <w:rsid w:val="006929A3"/>
    <w:rsid w:val="00696332"/>
    <w:rsid w:val="0069648B"/>
    <w:rsid w:val="006A6815"/>
    <w:rsid w:val="006B1F74"/>
    <w:rsid w:val="006B701F"/>
    <w:rsid w:val="006C08B8"/>
    <w:rsid w:val="006C1DF0"/>
    <w:rsid w:val="006D12E4"/>
    <w:rsid w:val="006E42E8"/>
    <w:rsid w:val="006F56CA"/>
    <w:rsid w:val="0070245F"/>
    <w:rsid w:val="00706771"/>
    <w:rsid w:val="00721C6A"/>
    <w:rsid w:val="0072519D"/>
    <w:rsid w:val="007420A7"/>
    <w:rsid w:val="00760BA7"/>
    <w:rsid w:val="00761A9C"/>
    <w:rsid w:val="00777467"/>
    <w:rsid w:val="00782DA7"/>
    <w:rsid w:val="00783DA7"/>
    <w:rsid w:val="00784ECD"/>
    <w:rsid w:val="00795DE5"/>
    <w:rsid w:val="007A084F"/>
    <w:rsid w:val="007A7359"/>
    <w:rsid w:val="007B10D7"/>
    <w:rsid w:val="007B1CC4"/>
    <w:rsid w:val="007B590A"/>
    <w:rsid w:val="007C6482"/>
    <w:rsid w:val="007D6E99"/>
    <w:rsid w:val="007D798B"/>
    <w:rsid w:val="007F73DF"/>
    <w:rsid w:val="00807F30"/>
    <w:rsid w:val="00810532"/>
    <w:rsid w:val="008113BF"/>
    <w:rsid w:val="0081286E"/>
    <w:rsid w:val="00824F28"/>
    <w:rsid w:val="0082710D"/>
    <w:rsid w:val="008320AC"/>
    <w:rsid w:val="00833327"/>
    <w:rsid w:val="00833770"/>
    <w:rsid w:val="008400C4"/>
    <w:rsid w:val="00845DDE"/>
    <w:rsid w:val="00845F08"/>
    <w:rsid w:val="00850E15"/>
    <w:rsid w:val="00867491"/>
    <w:rsid w:val="008701E4"/>
    <w:rsid w:val="00870C54"/>
    <w:rsid w:val="00872505"/>
    <w:rsid w:val="0088143A"/>
    <w:rsid w:val="00881972"/>
    <w:rsid w:val="0088292B"/>
    <w:rsid w:val="00887C57"/>
    <w:rsid w:val="00897EF8"/>
    <w:rsid w:val="008A26F5"/>
    <w:rsid w:val="008A3CFC"/>
    <w:rsid w:val="008A6369"/>
    <w:rsid w:val="008B207D"/>
    <w:rsid w:val="008B497F"/>
    <w:rsid w:val="008B544D"/>
    <w:rsid w:val="008C091D"/>
    <w:rsid w:val="008C5DD7"/>
    <w:rsid w:val="008D3AC8"/>
    <w:rsid w:val="008D41B1"/>
    <w:rsid w:val="008D5583"/>
    <w:rsid w:val="008D5DBB"/>
    <w:rsid w:val="008E09B1"/>
    <w:rsid w:val="008F06A8"/>
    <w:rsid w:val="008F2E37"/>
    <w:rsid w:val="008F4269"/>
    <w:rsid w:val="009174E6"/>
    <w:rsid w:val="00920744"/>
    <w:rsid w:val="00922F91"/>
    <w:rsid w:val="009256D0"/>
    <w:rsid w:val="00927E77"/>
    <w:rsid w:val="00933605"/>
    <w:rsid w:val="00936649"/>
    <w:rsid w:val="009416BD"/>
    <w:rsid w:val="00941C45"/>
    <w:rsid w:val="00943015"/>
    <w:rsid w:val="00945806"/>
    <w:rsid w:val="009461DD"/>
    <w:rsid w:val="009552C0"/>
    <w:rsid w:val="0095797B"/>
    <w:rsid w:val="0096026B"/>
    <w:rsid w:val="00963129"/>
    <w:rsid w:val="00970396"/>
    <w:rsid w:val="00971FAE"/>
    <w:rsid w:val="009740BE"/>
    <w:rsid w:val="0098000D"/>
    <w:rsid w:val="00984C67"/>
    <w:rsid w:val="00995DAA"/>
    <w:rsid w:val="009A4922"/>
    <w:rsid w:val="009A6226"/>
    <w:rsid w:val="009B41F3"/>
    <w:rsid w:val="009B7860"/>
    <w:rsid w:val="009C1F2D"/>
    <w:rsid w:val="009C37E6"/>
    <w:rsid w:val="009C6B09"/>
    <w:rsid w:val="009D055A"/>
    <w:rsid w:val="009D169F"/>
    <w:rsid w:val="009D2D8C"/>
    <w:rsid w:val="009D72B5"/>
    <w:rsid w:val="009E41ED"/>
    <w:rsid w:val="009F7375"/>
    <w:rsid w:val="00A00520"/>
    <w:rsid w:val="00A04D8B"/>
    <w:rsid w:val="00A04D93"/>
    <w:rsid w:val="00A056D0"/>
    <w:rsid w:val="00A1326F"/>
    <w:rsid w:val="00A21CD6"/>
    <w:rsid w:val="00A327E5"/>
    <w:rsid w:val="00A4000E"/>
    <w:rsid w:val="00A41C26"/>
    <w:rsid w:val="00A41E2A"/>
    <w:rsid w:val="00A446A2"/>
    <w:rsid w:val="00A47CBE"/>
    <w:rsid w:val="00A51271"/>
    <w:rsid w:val="00A53597"/>
    <w:rsid w:val="00A5463B"/>
    <w:rsid w:val="00A556A9"/>
    <w:rsid w:val="00A55B3D"/>
    <w:rsid w:val="00A62AF3"/>
    <w:rsid w:val="00A7276B"/>
    <w:rsid w:val="00A74C65"/>
    <w:rsid w:val="00A77A56"/>
    <w:rsid w:val="00A84D01"/>
    <w:rsid w:val="00A853A5"/>
    <w:rsid w:val="00A86548"/>
    <w:rsid w:val="00AA0CB1"/>
    <w:rsid w:val="00AB6AFE"/>
    <w:rsid w:val="00AC1275"/>
    <w:rsid w:val="00AC509E"/>
    <w:rsid w:val="00AD2C2D"/>
    <w:rsid w:val="00AD572D"/>
    <w:rsid w:val="00AE2204"/>
    <w:rsid w:val="00AE35CF"/>
    <w:rsid w:val="00AF33FF"/>
    <w:rsid w:val="00B171DF"/>
    <w:rsid w:val="00B2330F"/>
    <w:rsid w:val="00B34621"/>
    <w:rsid w:val="00B4150E"/>
    <w:rsid w:val="00B41B29"/>
    <w:rsid w:val="00B43DD5"/>
    <w:rsid w:val="00B47BAC"/>
    <w:rsid w:val="00B66F7B"/>
    <w:rsid w:val="00B71E9D"/>
    <w:rsid w:val="00B762BC"/>
    <w:rsid w:val="00B76F62"/>
    <w:rsid w:val="00B773C5"/>
    <w:rsid w:val="00B80396"/>
    <w:rsid w:val="00B82EAA"/>
    <w:rsid w:val="00B8665E"/>
    <w:rsid w:val="00B87649"/>
    <w:rsid w:val="00B90844"/>
    <w:rsid w:val="00B935C9"/>
    <w:rsid w:val="00B94813"/>
    <w:rsid w:val="00B96030"/>
    <w:rsid w:val="00BA5A0D"/>
    <w:rsid w:val="00BB24C8"/>
    <w:rsid w:val="00BB6D17"/>
    <w:rsid w:val="00BC529F"/>
    <w:rsid w:val="00BC5D64"/>
    <w:rsid w:val="00BC6300"/>
    <w:rsid w:val="00BC6F5B"/>
    <w:rsid w:val="00BC7BF7"/>
    <w:rsid w:val="00BD10D5"/>
    <w:rsid w:val="00BD2AEB"/>
    <w:rsid w:val="00BD6BE7"/>
    <w:rsid w:val="00BD786E"/>
    <w:rsid w:val="00BE6970"/>
    <w:rsid w:val="00BF297D"/>
    <w:rsid w:val="00BF7D68"/>
    <w:rsid w:val="00C03396"/>
    <w:rsid w:val="00C045C3"/>
    <w:rsid w:val="00C04BFE"/>
    <w:rsid w:val="00C04EA1"/>
    <w:rsid w:val="00C153D0"/>
    <w:rsid w:val="00C27626"/>
    <w:rsid w:val="00C27B2C"/>
    <w:rsid w:val="00C32CBB"/>
    <w:rsid w:val="00C41890"/>
    <w:rsid w:val="00C4382B"/>
    <w:rsid w:val="00C449CD"/>
    <w:rsid w:val="00C470A8"/>
    <w:rsid w:val="00C50CED"/>
    <w:rsid w:val="00C53F6D"/>
    <w:rsid w:val="00C53FBD"/>
    <w:rsid w:val="00C564B1"/>
    <w:rsid w:val="00C6728E"/>
    <w:rsid w:val="00C77116"/>
    <w:rsid w:val="00C8166D"/>
    <w:rsid w:val="00C82FBA"/>
    <w:rsid w:val="00C848E9"/>
    <w:rsid w:val="00C84F62"/>
    <w:rsid w:val="00C904A6"/>
    <w:rsid w:val="00C96128"/>
    <w:rsid w:val="00CA6856"/>
    <w:rsid w:val="00CA69CB"/>
    <w:rsid w:val="00CB0CEF"/>
    <w:rsid w:val="00CB0F59"/>
    <w:rsid w:val="00CB2F28"/>
    <w:rsid w:val="00CC59BD"/>
    <w:rsid w:val="00CD3943"/>
    <w:rsid w:val="00CE13D2"/>
    <w:rsid w:val="00CE5FE8"/>
    <w:rsid w:val="00D0282D"/>
    <w:rsid w:val="00D16AB8"/>
    <w:rsid w:val="00D17C06"/>
    <w:rsid w:val="00D2319A"/>
    <w:rsid w:val="00D24EA0"/>
    <w:rsid w:val="00D30245"/>
    <w:rsid w:val="00D343F4"/>
    <w:rsid w:val="00D34869"/>
    <w:rsid w:val="00D40746"/>
    <w:rsid w:val="00D44AD1"/>
    <w:rsid w:val="00D468CD"/>
    <w:rsid w:val="00D601B7"/>
    <w:rsid w:val="00D661AD"/>
    <w:rsid w:val="00D71815"/>
    <w:rsid w:val="00D82EF4"/>
    <w:rsid w:val="00D873F9"/>
    <w:rsid w:val="00D91A5E"/>
    <w:rsid w:val="00D93F67"/>
    <w:rsid w:val="00D94BD4"/>
    <w:rsid w:val="00D96F38"/>
    <w:rsid w:val="00D96F41"/>
    <w:rsid w:val="00DA0ACB"/>
    <w:rsid w:val="00DA72FB"/>
    <w:rsid w:val="00DB0AC9"/>
    <w:rsid w:val="00DB16CE"/>
    <w:rsid w:val="00DB3243"/>
    <w:rsid w:val="00DC1160"/>
    <w:rsid w:val="00DC285E"/>
    <w:rsid w:val="00DC5291"/>
    <w:rsid w:val="00DC7C75"/>
    <w:rsid w:val="00DD278B"/>
    <w:rsid w:val="00DD295F"/>
    <w:rsid w:val="00DD3635"/>
    <w:rsid w:val="00DD417B"/>
    <w:rsid w:val="00DE6C46"/>
    <w:rsid w:val="00DE70C5"/>
    <w:rsid w:val="00DE7B58"/>
    <w:rsid w:val="00DF705E"/>
    <w:rsid w:val="00E01454"/>
    <w:rsid w:val="00E029B1"/>
    <w:rsid w:val="00E03371"/>
    <w:rsid w:val="00E03598"/>
    <w:rsid w:val="00E0376F"/>
    <w:rsid w:val="00E07D1E"/>
    <w:rsid w:val="00E1096C"/>
    <w:rsid w:val="00E112A1"/>
    <w:rsid w:val="00E13914"/>
    <w:rsid w:val="00E14902"/>
    <w:rsid w:val="00E23F84"/>
    <w:rsid w:val="00E257C0"/>
    <w:rsid w:val="00E352B6"/>
    <w:rsid w:val="00E36C64"/>
    <w:rsid w:val="00E41CBC"/>
    <w:rsid w:val="00E41F69"/>
    <w:rsid w:val="00E47848"/>
    <w:rsid w:val="00E507CE"/>
    <w:rsid w:val="00E51F9C"/>
    <w:rsid w:val="00E72481"/>
    <w:rsid w:val="00E9572F"/>
    <w:rsid w:val="00EA2C23"/>
    <w:rsid w:val="00EA4C87"/>
    <w:rsid w:val="00EB15AA"/>
    <w:rsid w:val="00EB2DAA"/>
    <w:rsid w:val="00EB3C8B"/>
    <w:rsid w:val="00ED1A6D"/>
    <w:rsid w:val="00EE02D6"/>
    <w:rsid w:val="00EE17DD"/>
    <w:rsid w:val="00EE2F0C"/>
    <w:rsid w:val="00EE3D93"/>
    <w:rsid w:val="00EE76D4"/>
    <w:rsid w:val="00EF15F4"/>
    <w:rsid w:val="00EF3F2F"/>
    <w:rsid w:val="00F03D80"/>
    <w:rsid w:val="00F12648"/>
    <w:rsid w:val="00F133C7"/>
    <w:rsid w:val="00F169EF"/>
    <w:rsid w:val="00F20DA2"/>
    <w:rsid w:val="00F22B39"/>
    <w:rsid w:val="00F3653F"/>
    <w:rsid w:val="00F3743E"/>
    <w:rsid w:val="00F43803"/>
    <w:rsid w:val="00F568ED"/>
    <w:rsid w:val="00F62DA1"/>
    <w:rsid w:val="00F6488D"/>
    <w:rsid w:val="00F66B9E"/>
    <w:rsid w:val="00F815A8"/>
    <w:rsid w:val="00F84922"/>
    <w:rsid w:val="00F91E0A"/>
    <w:rsid w:val="00F9278E"/>
    <w:rsid w:val="00FA000D"/>
    <w:rsid w:val="00FA1C85"/>
    <w:rsid w:val="00FE0672"/>
    <w:rsid w:val="00FE2ED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A8628-52DB-47A7-BF17-4CFA760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1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14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1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4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semiHidden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table" w:styleId="TableGrid">
    <w:name w:val="Table Grid"/>
    <w:basedOn w:val="TableNormal"/>
    <w:uiPriority w:val="59"/>
    <w:rsid w:val="00CC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3914"/>
    <w:rPr>
      <w:rFonts w:ascii="Arial" w:eastAsiaTheme="majorEastAsia" w:hAnsi="Arial" w:cstheme="majorBidi"/>
      <w:b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1391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9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91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Academic Staff Recruitment by Caring Responsiblities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'!$A$64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'!$B$63:$J$63</c:f>
              <c:strCache>
                <c:ptCount val="4"/>
                <c:pt idx="0">
                  <c:v>Yes </c:v>
                </c:pt>
                <c:pt idx="1">
                  <c:v>No </c:v>
                </c:pt>
                <c:pt idx="2">
                  <c:v>Prefer not to answer </c:v>
                </c:pt>
                <c:pt idx="3">
                  <c:v>Unknown </c:v>
                </c:pt>
              </c:strCache>
            </c:strRef>
          </c:cat>
          <c:val>
            <c:numRef>
              <c:f>'Academic '!$B$64:$J$64</c:f>
              <c:numCache>
                <c:formatCode>0%</c:formatCode>
                <c:ptCount val="4"/>
                <c:pt idx="0">
                  <c:v>0.26</c:v>
                </c:pt>
                <c:pt idx="1">
                  <c:v>0.69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8A-4589-AEFD-37E017073E33}"/>
            </c:ext>
          </c:extLst>
        </c:ser>
        <c:ser>
          <c:idx val="1"/>
          <c:order val="1"/>
          <c:tx>
            <c:strRef>
              <c:f>'Academic '!$A$65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'!$B$63:$J$63</c:f>
              <c:strCache>
                <c:ptCount val="4"/>
                <c:pt idx="0">
                  <c:v>Yes </c:v>
                </c:pt>
                <c:pt idx="1">
                  <c:v>No </c:v>
                </c:pt>
                <c:pt idx="2">
                  <c:v>Prefer not to answer </c:v>
                </c:pt>
                <c:pt idx="3">
                  <c:v>Unknown </c:v>
                </c:pt>
              </c:strCache>
            </c:strRef>
          </c:cat>
          <c:val>
            <c:numRef>
              <c:f>'Academic '!$B$65:$J$65</c:f>
              <c:numCache>
                <c:formatCode>0%</c:formatCode>
                <c:ptCount val="4"/>
                <c:pt idx="0">
                  <c:v>0.23092072870507138</c:v>
                </c:pt>
                <c:pt idx="1">
                  <c:v>0.71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8A-4589-AEFD-37E017073E33}"/>
            </c:ext>
          </c:extLst>
        </c:ser>
        <c:ser>
          <c:idx val="2"/>
          <c:order val="2"/>
          <c:tx>
            <c:strRef>
              <c:f>'Academic '!$A$66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'!$B$63:$J$63</c:f>
              <c:strCache>
                <c:ptCount val="4"/>
                <c:pt idx="0">
                  <c:v>Yes </c:v>
                </c:pt>
                <c:pt idx="1">
                  <c:v>No </c:v>
                </c:pt>
                <c:pt idx="2">
                  <c:v>Prefer not to answer </c:v>
                </c:pt>
                <c:pt idx="3">
                  <c:v>Unknown </c:v>
                </c:pt>
              </c:strCache>
            </c:strRef>
          </c:cat>
          <c:val>
            <c:numRef>
              <c:f>'Academic '!$B$66:$J$66</c:f>
              <c:numCache>
                <c:formatCode>0%</c:formatCode>
                <c:ptCount val="4"/>
                <c:pt idx="0">
                  <c:v>0.22</c:v>
                </c:pt>
                <c:pt idx="1">
                  <c:v>0.72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8A-4589-AEFD-37E017073E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9053368"/>
        <c:axId val="239054544"/>
      </c:barChart>
      <c:catAx>
        <c:axId val="239053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9054544"/>
        <c:crosses val="autoZero"/>
        <c:auto val="1"/>
        <c:lblAlgn val="ctr"/>
        <c:lblOffset val="100"/>
        <c:noMultiLvlLbl val="0"/>
      </c:catAx>
      <c:valAx>
        <c:axId val="23905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905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</a:t>
            </a:r>
            <a:r>
              <a:rPr lang="en-GB" baseline="0"/>
              <a:t> Recruitment by Disability (%)</a:t>
            </a:r>
            <a:endParaRPr lang="en-GB"/>
          </a:p>
        </c:rich>
      </c:tx>
      <c:layout>
        <c:manualLayout>
          <c:xMode val="edge"/>
          <c:yMode val="edge"/>
          <c:x val="0.23281734105003435"/>
          <c:y val="3.171099187822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'!$L$43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'!$M$42:$P$42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'!$M$43:$P$43</c:f>
              <c:numCache>
                <c:formatCode>0%</c:formatCode>
                <c:ptCount val="4"/>
                <c:pt idx="0">
                  <c:v>3.2462755195880079E-2</c:v>
                </c:pt>
                <c:pt idx="1">
                  <c:v>0.94</c:v>
                </c:pt>
                <c:pt idx="2">
                  <c:v>3.2738642633805409E-2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56-4DED-B0D1-EA894D2F6BB1}"/>
            </c:ext>
          </c:extLst>
        </c:ser>
        <c:ser>
          <c:idx val="1"/>
          <c:order val="1"/>
          <c:tx>
            <c:strRef>
              <c:f>'Academic '!$L$44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'!$M$42:$P$42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'!$M$44:$P$44</c:f>
              <c:numCache>
                <c:formatCode>0%</c:formatCode>
                <c:ptCount val="4"/>
                <c:pt idx="0">
                  <c:v>3.643525356967011E-2</c:v>
                </c:pt>
                <c:pt idx="1">
                  <c:v>0.91</c:v>
                </c:pt>
                <c:pt idx="2">
                  <c:v>2.6587887740029542E-2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56-4DED-B0D1-EA894D2F6BB1}"/>
            </c:ext>
          </c:extLst>
        </c:ser>
        <c:ser>
          <c:idx val="2"/>
          <c:order val="2"/>
          <c:tx>
            <c:strRef>
              <c:f>'Academic '!$L$45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'!$M$42:$P$42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'!$M$45:$P$45</c:f>
              <c:numCache>
                <c:formatCode>0%</c:formatCode>
                <c:ptCount val="4"/>
                <c:pt idx="0">
                  <c:v>0.04</c:v>
                </c:pt>
                <c:pt idx="1">
                  <c:v>0.88</c:v>
                </c:pt>
                <c:pt idx="2">
                  <c:v>0.06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56-4DED-B0D1-EA894D2F6B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4113520"/>
        <c:axId val="304113912"/>
      </c:barChart>
      <c:catAx>
        <c:axId val="3041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4113912"/>
        <c:crosses val="autoZero"/>
        <c:auto val="1"/>
        <c:lblAlgn val="ctr"/>
        <c:lblOffset val="100"/>
        <c:noMultiLvlLbl val="0"/>
      </c:catAx>
      <c:valAx>
        <c:axId val="30411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41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</a:t>
            </a:r>
            <a:r>
              <a:rPr lang="en-GB" baseline="0"/>
              <a:t> Staff Recruitment by Ethnicity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'!$L$7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'!$M$7:$P$7</c:f>
              <c:numCache>
                <c:formatCode>0%</c:formatCode>
                <c:ptCount val="4"/>
                <c:pt idx="0">
                  <c:v>0.38</c:v>
                </c:pt>
                <c:pt idx="1">
                  <c:v>0.56000000000000005</c:v>
                </c:pt>
                <c:pt idx="2">
                  <c:v>0.06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A5-4B5E-9CC0-B248CB6CAD9B}"/>
            </c:ext>
          </c:extLst>
        </c:ser>
        <c:ser>
          <c:idx val="1"/>
          <c:order val="1"/>
          <c:tx>
            <c:strRef>
              <c:f>'Academic '!$L$8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'!$M$8:$P$8</c:f>
              <c:numCache>
                <c:formatCode>0%</c:formatCode>
                <c:ptCount val="4"/>
                <c:pt idx="0">
                  <c:v>0.56999999999999995</c:v>
                </c:pt>
                <c:pt idx="1">
                  <c:v>0.37</c:v>
                </c:pt>
                <c:pt idx="2">
                  <c:v>0.05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A5-4B5E-9CC0-B248CB6CAD9B}"/>
            </c:ext>
          </c:extLst>
        </c:ser>
        <c:ser>
          <c:idx val="2"/>
          <c:order val="2"/>
          <c:tx>
            <c:strRef>
              <c:f>'Academic '!$L$9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'!$M$9:$P$9</c:f>
              <c:numCache>
                <c:formatCode>0%</c:formatCode>
                <c:ptCount val="4"/>
                <c:pt idx="0">
                  <c:v>0.64</c:v>
                </c:pt>
                <c:pt idx="1">
                  <c:v>0.28999999999999998</c:v>
                </c:pt>
                <c:pt idx="2">
                  <c:v>0.05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A5-4B5E-9CC0-B248CB6CAD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4114696"/>
        <c:axId val="298082192"/>
      </c:barChart>
      <c:catAx>
        <c:axId val="30411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082192"/>
        <c:crosses val="autoZero"/>
        <c:auto val="1"/>
        <c:lblAlgn val="ctr"/>
        <c:lblOffset val="100"/>
        <c:noMultiLvlLbl val="0"/>
      </c:catAx>
      <c:valAx>
        <c:axId val="29808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11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Recruitment by Gender Reassignment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'!$W$34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'!$X$33:$AA$33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'!$X$34:$AA$34</c:f>
              <c:numCache>
                <c:formatCode>0%</c:formatCode>
                <c:ptCount val="4"/>
                <c:pt idx="0">
                  <c:v>0.97</c:v>
                </c:pt>
                <c:pt idx="1">
                  <c:v>0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61-45C9-BB3D-74FD4EDFFEE2}"/>
            </c:ext>
          </c:extLst>
        </c:ser>
        <c:ser>
          <c:idx val="1"/>
          <c:order val="1"/>
          <c:tx>
            <c:strRef>
              <c:f>'Academic '!$W$35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'!$X$33:$AA$33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'!$X$35:$AA$35</c:f>
              <c:numCache>
                <c:formatCode>0%</c:formatCode>
                <c:ptCount val="4"/>
                <c:pt idx="0">
                  <c:v>0.95864106351550959</c:v>
                </c:pt>
                <c:pt idx="1">
                  <c:v>2.461841457410143E-3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61-45C9-BB3D-74FD4EDFFEE2}"/>
            </c:ext>
          </c:extLst>
        </c:ser>
        <c:ser>
          <c:idx val="2"/>
          <c:order val="2"/>
          <c:tx>
            <c:strRef>
              <c:f>'Academic '!$W$36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'!$X$33:$AA$33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'Academic '!$X$36:$AA$36</c:f>
              <c:numCache>
                <c:formatCode>0%</c:formatCode>
                <c:ptCount val="4"/>
                <c:pt idx="0">
                  <c:v>0.96</c:v>
                </c:pt>
                <c:pt idx="1">
                  <c:v>1.4104372355430183E-3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61-45C9-BB3D-74FD4EDFFE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8082976"/>
        <c:axId val="298083368"/>
      </c:barChart>
      <c:catAx>
        <c:axId val="29808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083368"/>
        <c:crosses val="autoZero"/>
        <c:auto val="1"/>
        <c:lblAlgn val="ctr"/>
        <c:lblOffset val="100"/>
        <c:noMultiLvlLbl val="0"/>
      </c:catAx>
      <c:valAx>
        <c:axId val="29808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08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Recruitment by Religion or Belief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'!$Z$10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'!$AA$9:$AK$9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'Academic '!$AA$10:$AK$10</c:f>
              <c:numCache>
                <c:formatCode>0%</c:formatCode>
                <c:ptCount val="11"/>
                <c:pt idx="0">
                  <c:v>1.6369321316902705E-2</c:v>
                </c:pt>
                <c:pt idx="1">
                  <c:v>0.21</c:v>
                </c:pt>
                <c:pt idx="2">
                  <c:v>0.1</c:v>
                </c:pt>
                <c:pt idx="3">
                  <c:v>6.4373735515909506E-3</c:v>
                </c:pt>
                <c:pt idx="4">
                  <c:v>0.22</c:v>
                </c:pt>
                <c:pt idx="5">
                  <c:v>0.02</c:v>
                </c:pt>
                <c:pt idx="6">
                  <c:v>4.5061614861136657E-3</c:v>
                </c:pt>
                <c:pt idx="7">
                  <c:v>0.01</c:v>
                </c:pt>
                <c:pt idx="8">
                  <c:v>0.31</c:v>
                </c:pt>
                <c:pt idx="9">
                  <c:v>0.1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7-4EC7-B3A5-50BBDECE8012}"/>
            </c:ext>
          </c:extLst>
        </c:ser>
        <c:ser>
          <c:idx val="1"/>
          <c:order val="1"/>
          <c:tx>
            <c:strRef>
              <c:f>'Academic '!$Z$11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'!$AA$9:$AK$9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'Academic '!$AA$11:$AK$11</c:f>
              <c:numCache>
                <c:formatCode>0%</c:formatCode>
                <c:ptCount val="11"/>
                <c:pt idx="0">
                  <c:v>1.674052191038897E-2</c:v>
                </c:pt>
                <c:pt idx="1">
                  <c:v>0.22</c:v>
                </c:pt>
                <c:pt idx="2">
                  <c:v>0.04</c:v>
                </c:pt>
                <c:pt idx="3">
                  <c:v>0.01</c:v>
                </c:pt>
                <c:pt idx="4">
                  <c:v>0.1</c:v>
                </c:pt>
                <c:pt idx="5">
                  <c:v>0.02</c:v>
                </c:pt>
                <c:pt idx="6">
                  <c:v>1.9694731659281144E-3</c:v>
                </c:pt>
                <c:pt idx="7">
                  <c:v>0.02</c:v>
                </c:pt>
                <c:pt idx="8">
                  <c:v>0.46</c:v>
                </c:pt>
                <c:pt idx="9">
                  <c:v>0.1</c:v>
                </c:pt>
                <c:pt idx="10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D7-4EC7-B3A5-50BBDECE8012}"/>
            </c:ext>
          </c:extLst>
        </c:ser>
        <c:ser>
          <c:idx val="2"/>
          <c:order val="2"/>
          <c:tx>
            <c:strRef>
              <c:f>'Academic '!$Z$12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'!$AA$9:$AK$9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'Academic '!$AA$12:$AK$12</c:f>
              <c:numCache>
                <c:formatCode>0%</c:formatCode>
                <c:ptCount val="11"/>
                <c:pt idx="0">
                  <c:v>0.01</c:v>
                </c:pt>
                <c:pt idx="1">
                  <c:v>0.21</c:v>
                </c:pt>
                <c:pt idx="2">
                  <c:v>0.03</c:v>
                </c:pt>
                <c:pt idx="3">
                  <c:v>4.2313117066290554E-3</c:v>
                </c:pt>
                <c:pt idx="4">
                  <c:v>0.09</c:v>
                </c:pt>
                <c:pt idx="5">
                  <c:v>0.01</c:v>
                </c:pt>
                <c:pt idx="6">
                  <c:v>1.4104372355430183E-3</c:v>
                </c:pt>
                <c:pt idx="7">
                  <c:v>0.02</c:v>
                </c:pt>
                <c:pt idx="8">
                  <c:v>0.5</c:v>
                </c:pt>
                <c:pt idx="9">
                  <c:v>0.1</c:v>
                </c:pt>
                <c:pt idx="10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D7-4EC7-B3A5-50BBDECE80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101096"/>
        <c:axId val="244101488"/>
      </c:barChart>
      <c:catAx>
        <c:axId val="24410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1488"/>
        <c:crosses val="autoZero"/>
        <c:auto val="1"/>
        <c:lblAlgn val="ctr"/>
        <c:lblOffset val="100"/>
        <c:noMultiLvlLbl val="0"/>
      </c:catAx>
      <c:valAx>
        <c:axId val="24410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1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Recruitment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'Academic '!$Z$51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'!$AA$50:$AG$50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
 to answer</c:v>
                </c:pt>
                <c:pt idx="6">
                  <c:v>Unknown</c:v>
                </c:pt>
              </c:strCache>
            </c:strRef>
          </c:cat>
          <c:val>
            <c:numRef>
              <c:f>'Academic '!$AA$51:$AG$51</c:f>
              <c:numCache>
                <c:formatCode>0%</c:formatCode>
                <c:ptCount val="7"/>
                <c:pt idx="0">
                  <c:v>0.04</c:v>
                </c:pt>
                <c:pt idx="1">
                  <c:v>1.9036233216847526E-2</c:v>
                </c:pt>
                <c:pt idx="2">
                  <c:v>1.0299797682545521E-2</c:v>
                </c:pt>
                <c:pt idx="3">
                  <c:v>0.79</c:v>
                </c:pt>
                <c:pt idx="4">
                  <c:v>0.02</c:v>
                </c:pt>
                <c:pt idx="5">
                  <c:v>0.11513702409416958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BB-4D07-8534-2F0E0E2CDDBC}"/>
            </c:ext>
          </c:extLst>
        </c:ser>
        <c:ser>
          <c:idx val="1"/>
          <c:order val="1"/>
          <c:tx>
            <c:strRef>
              <c:f>'Academic '!$Z$52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'!$AA$50:$AG$50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
 to answer</c:v>
                </c:pt>
                <c:pt idx="6">
                  <c:v>Unknown</c:v>
                </c:pt>
              </c:strCache>
            </c:strRef>
          </c:cat>
          <c:val>
            <c:numRef>
              <c:f>'Academic '!$AA$52:$AG$52</c:f>
              <c:numCache>
                <c:formatCode>0%</c:formatCode>
                <c:ptCount val="7"/>
                <c:pt idx="0">
                  <c:v>0.03</c:v>
                </c:pt>
                <c:pt idx="1">
                  <c:v>1.9202363367799114E-2</c:v>
                </c:pt>
                <c:pt idx="2">
                  <c:v>0</c:v>
                </c:pt>
                <c:pt idx="3">
                  <c:v>0.81</c:v>
                </c:pt>
                <c:pt idx="4">
                  <c:v>1.03397341211226E-2</c:v>
                </c:pt>
                <c:pt idx="5">
                  <c:v>0.10635155096011817</c:v>
                </c:pt>
                <c:pt idx="6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BB-4D07-8534-2F0E0E2CDDBC}"/>
            </c:ext>
          </c:extLst>
        </c:ser>
        <c:ser>
          <c:idx val="2"/>
          <c:order val="2"/>
          <c:tx>
            <c:strRef>
              <c:f>'Academic '!$Z$53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'Academic '!$AA$50:$AG$50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
 to answer</c:v>
                </c:pt>
                <c:pt idx="6">
                  <c:v>Unknown</c:v>
                </c:pt>
              </c:strCache>
            </c:strRef>
          </c:cat>
          <c:val>
            <c:numRef>
              <c:f>'Academic '!$AA$53:$AG$53</c:f>
              <c:numCache>
                <c:formatCode>0%</c:formatCode>
                <c:ptCount val="7"/>
                <c:pt idx="0">
                  <c:v>0.02</c:v>
                </c:pt>
                <c:pt idx="1">
                  <c:v>9.8730606488011286E-3</c:v>
                </c:pt>
                <c:pt idx="2">
                  <c:v>0</c:v>
                </c:pt>
                <c:pt idx="3">
                  <c:v>0.83</c:v>
                </c:pt>
                <c:pt idx="4">
                  <c:v>1.2693935119887164E-2</c:v>
                </c:pt>
                <c:pt idx="5">
                  <c:v>0.1001410437235543</c:v>
                </c:pt>
                <c:pt idx="6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BB-4D07-8534-2F0E0E2CDD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102272"/>
        <c:axId val="244102664"/>
      </c:barChart>
      <c:catAx>
        <c:axId val="2441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2664"/>
        <c:crosses val="autoZero"/>
        <c:auto val="1"/>
        <c:lblAlgn val="ctr"/>
        <c:lblOffset val="100"/>
        <c:noMultiLvlLbl val="0"/>
      </c:catAx>
      <c:valAx>
        <c:axId val="24410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F1D4-561C-4CD2-B776-68D4CF77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EDB9C-469F-4AB4-93B3-5E0D2FB9C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E98C8-2819-4DC9-81E0-A2623E8BD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5D74A-188D-461B-BE0A-7CD60E9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82</cp:revision>
  <dcterms:created xsi:type="dcterms:W3CDTF">2021-01-16T17:55:00Z</dcterms:created>
  <dcterms:modified xsi:type="dcterms:W3CDTF">2021-01-28T18:43:00Z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